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1D0" w:rsidRPr="009251D0" w:rsidRDefault="009251D0" w:rsidP="00422A47">
      <w:pPr>
        <w:spacing w:after="0" w:line="240" w:lineRule="auto"/>
        <w:rPr>
          <w:b/>
          <w:noProof/>
          <w:sz w:val="24"/>
          <w:szCs w:val="24"/>
          <w:lang w:val="ro-RO"/>
        </w:rPr>
      </w:pPr>
      <w:r w:rsidRPr="009251D0">
        <w:rPr>
          <w:b/>
          <w:noProof/>
          <w:sz w:val="24"/>
          <w:szCs w:val="24"/>
          <w:lang w:val="ro-RO"/>
        </w:rPr>
        <w:t>Project title: DivSea: Diversification of seafarers’ employability paths through collaborative development of competences and certification</w:t>
      </w:r>
    </w:p>
    <w:p w:rsidR="009251D0" w:rsidRDefault="009251D0" w:rsidP="005D3B0C">
      <w:pPr>
        <w:spacing w:after="0" w:line="240" w:lineRule="auto"/>
        <w:rPr>
          <w:b/>
          <w:noProof/>
          <w:sz w:val="24"/>
          <w:szCs w:val="24"/>
          <w:lang w:val="ro-RO"/>
        </w:rPr>
      </w:pPr>
      <w:r w:rsidRPr="009251D0">
        <w:rPr>
          <w:b/>
          <w:noProof/>
          <w:sz w:val="24"/>
          <w:szCs w:val="24"/>
          <w:lang w:val="ro-RO"/>
        </w:rPr>
        <w:t>2016-1-RO01-KA202-024663</w:t>
      </w:r>
    </w:p>
    <w:p w:rsidR="005D3B0C" w:rsidRDefault="005D3B0C" w:rsidP="009251D0">
      <w:pPr>
        <w:spacing w:line="240" w:lineRule="auto"/>
        <w:rPr>
          <w:b/>
          <w:noProof/>
          <w:sz w:val="24"/>
          <w:szCs w:val="24"/>
          <w:lang w:val="ro-RO"/>
        </w:rPr>
      </w:pPr>
      <w:r>
        <w:rPr>
          <w:b/>
          <w:noProof/>
          <w:sz w:val="24"/>
          <w:szCs w:val="24"/>
          <w:lang w:val="ro-RO"/>
        </w:rPr>
        <w:t>Implementation period: 1.09.2016 – 31.08.</w:t>
      </w:r>
      <w:bookmarkStart w:id="0" w:name="_GoBack"/>
      <w:bookmarkEnd w:id="0"/>
      <w:r>
        <w:rPr>
          <w:b/>
          <w:noProof/>
          <w:sz w:val="24"/>
          <w:szCs w:val="24"/>
          <w:lang w:val="ro-RO"/>
        </w:rPr>
        <w:t>2018</w:t>
      </w:r>
    </w:p>
    <w:p w:rsidR="00B16381" w:rsidRPr="009251D0" w:rsidRDefault="00B16381" w:rsidP="009251D0">
      <w:pPr>
        <w:spacing w:line="240" w:lineRule="auto"/>
        <w:rPr>
          <w:b/>
          <w:noProof/>
          <w:sz w:val="24"/>
          <w:szCs w:val="24"/>
          <w:lang w:val="ro-RO"/>
        </w:rPr>
      </w:pPr>
    </w:p>
    <w:p w:rsidR="00422A47" w:rsidRPr="002A277E" w:rsidRDefault="00422A47" w:rsidP="00422A47">
      <w:pPr>
        <w:spacing w:after="0" w:line="240" w:lineRule="auto"/>
        <w:jc w:val="center"/>
        <w:rPr>
          <w:b/>
          <w:noProof/>
          <w:sz w:val="36"/>
          <w:szCs w:val="36"/>
          <w:lang w:val="ro-RO"/>
        </w:rPr>
      </w:pPr>
      <w:r w:rsidRPr="002A277E">
        <w:rPr>
          <w:b/>
          <w:noProof/>
          <w:sz w:val="36"/>
          <w:szCs w:val="36"/>
          <w:lang w:val="ro-RO"/>
        </w:rPr>
        <w:t xml:space="preserve">Transnational Project Meeting </w:t>
      </w:r>
      <w:r>
        <w:rPr>
          <w:b/>
          <w:noProof/>
          <w:sz w:val="36"/>
          <w:szCs w:val="36"/>
          <w:lang w:val="ro-RO"/>
        </w:rPr>
        <w:t>4</w:t>
      </w:r>
      <w:r w:rsidRPr="002A277E">
        <w:rPr>
          <w:b/>
          <w:noProof/>
          <w:sz w:val="36"/>
          <w:szCs w:val="36"/>
          <w:lang w:val="ro-RO"/>
        </w:rPr>
        <w:t>. Minutes of meeting</w:t>
      </w:r>
    </w:p>
    <w:p w:rsidR="00422A47" w:rsidRPr="002A277E" w:rsidRDefault="00422A47" w:rsidP="00422A47">
      <w:pPr>
        <w:spacing w:after="0" w:line="240" w:lineRule="auto"/>
        <w:jc w:val="center"/>
        <w:rPr>
          <w:b/>
          <w:noProof/>
          <w:sz w:val="28"/>
          <w:szCs w:val="28"/>
          <w:lang w:val="ro-RO"/>
        </w:rPr>
      </w:pPr>
      <w:r>
        <w:rPr>
          <w:b/>
          <w:noProof/>
          <w:sz w:val="28"/>
          <w:szCs w:val="28"/>
          <w:lang w:val="ro-RO"/>
        </w:rPr>
        <w:t>24</w:t>
      </w:r>
      <w:r w:rsidRPr="002A277E">
        <w:rPr>
          <w:b/>
          <w:noProof/>
          <w:sz w:val="28"/>
          <w:szCs w:val="28"/>
          <w:lang w:val="ro-RO"/>
        </w:rPr>
        <w:t xml:space="preserve"> – </w:t>
      </w:r>
      <w:r>
        <w:rPr>
          <w:b/>
          <w:noProof/>
          <w:sz w:val="28"/>
          <w:szCs w:val="28"/>
          <w:lang w:val="ro-RO"/>
        </w:rPr>
        <w:t>25</w:t>
      </w:r>
      <w:r w:rsidRPr="002A277E">
        <w:rPr>
          <w:b/>
          <w:noProof/>
          <w:sz w:val="28"/>
          <w:szCs w:val="28"/>
          <w:lang w:val="ro-RO"/>
        </w:rPr>
        <w:t xml:space="preserve"> </w:t>
      </w:r>
      <w:r>
        <w:rPr>
          <w:b/>
          <w:noProof/>
          <w:sz w:val="28"/>
          <w:szCs w:val="28"/>
          <w:lang w:val="ro-RO"/>
        </w:rPr>
        <w:t>April</w:t>
      </w:r>
      <w:r>
        <w:rPr>
          <w:b/>
          <w:noProof/>
          <w:sz w:val="28"/>
          <w:szCs w:val="28"/>
          <w:lang w:val="ro-RO"/>
        </w:rPr>
        <w:t xml:space="preserve"> 201</w:t>
      </w:r>
      <w:r>
        <w:rPr>
          <w:b/>
          <w:noProof/>
          <w:sz w:val="28"/>
          <w:szCs w:val="28"/>
          <w:lang w:val="ro-RO"/>
        </w:rPr>
        <w:t>8</w:t>
      </w:r>
      <w:r w:rsidRPr="002A277E">
        <w:rPr>
          <w:b/>
          <w:noProof/>
          <w:sz w:val="28"/>
          <w:szCs w:val="28"/>
          <w:lang w:val="ro-RO"/>
        </w:rPr>
        <w:t xml:space="preserve">, </w:t>
      </w:r>
      <w:r>
        <w:rPr>
          <w:b/>
          <w:noProof/>
          <w:sz w:val="28"/>
          <w:szCs w:val="28"/>
          <w:lang w:val="ro-RO"/>
        </w:rPr>
        <w:t>Constanta</w:t>
      </w:r>
      <w:r w:rsidRPr="002A277E">
        <w:rPr>
          <w:b/>
          <w:noProof/>
          <w:sz w:val="28"/>
          <w:szCs w:val="28"/>
          <w:lang w:val="ro-RO"/>
        </w:rPr>
        <w:t xml:space="preserve">, </w:t>
      </w:r>
      <w:r>
        <w:rPr>
          <w:b/>
          <w:noProof/>
          <w:sz w:val="28"/>
          <w:szCs w:val="28"/>
          <w:lang w:val="ro-RO"/>
        </w:rPr>
        <w:t>Romania</w:t>
      </w:r>
    </w:p>
    <w:p w:rsidR="00422A47" w:rsidRDefault="00422A47" w:rsidP="00422A47">
      <w:pPr>
        <w:spacing w:line="240" w:lineRule="auto"/>
        <w:rPr>
          <w:sz w:val="24"/>
          <w:szCs w:val="24"/>
        </w:rPr>
      </w:pPr>
    </w:p>
    <w:p w:rsidR="00422A47" w:rsidRPr="002A277E" w:rsidRDefault="00422A47" w:rsidP="00422A47">
      <w:pPr>
        <w:spacing w:line="240" w:lineRule="auto"/>
        <w:rPr>
          <w:sz w:val="24"/>
          <w:szCs w:val="24"/>
        </w:rPr>
        <w:sectPr w:rsidR="00422A47" w:rsidRPr="002A277E" w:rsidSect="002A277E">
          <w:headerReference w:type="default" r:id="rId7"/>
          <w:footerReference w:type="default" r:id="rId8"/>
          <w:type w:val="continuous"/>
          <w:pgSz w:w="11907" w:h="16840" w:code="9"/>
          <w:pgMar w:top="1134" w:right="1276" w:bottom="567" w:left="1276" w:header="720" w:footer="720" w:gutter="0"/>
          <w:cols w:space="720"/>
          <w:docGrid w:linePitch="360"/>
        </w:sectPr>
      </w:pPr>
    </w:p>
    <w:p w:rsidR="00422A47" w:rsidRPr="00DD6B0D" w:rsidRDefault="00422A47" w:rsidP="00422A47">
      <w:pPr>
        <w:spacing w:after="0"/>
        <w:jc w:val="center"/>
        <w:rPr>
          <w:rFonts w:cs="Times New Roman"/>
          <w:b/>
          <w:sz w:val="20"/>
          <w:szCs w:val="20"/>
        </w:rPr>
      </w:pPr>
    </w:p>
    <w:p w:rsidR="00422A47" w:rsidRPr="00DD6B0D" w:rsidRDefault="00422A47" w:rsidP="00422A47">
      <w:pPr>
        <w:tabs>
          <w:tab w:val="left" w:pos="0"/>
          <w:tab w:val="left" w:pos="828"/>
          <w:tab w:val="left" w:pos="1044"/>
          <w:tab w:val="left" w:pos="1260"/>
          <w:tab w:val="left" w:pos="1476"/>
          <w:tab w:val="left" w:pos="1692"/>
          <w:tab w:val="left" w:pos="2160"/>
        </w:tabs>
        <w:spacing w:after="0" w:line="240" w:lineRule="auto"/>
        <w:jc w:val="both"/>
        <w:rPr>
          <w:rFonts w:cs="Times New Roman"/>
          <w:sz w:val="20"/>
          <w:szCs w:val="20"/>
        </w:rPr>
      </w:pPr>
      <w:r w:rsidRPr="00DD6B0D">
        <w:rPr>
          <w:rFonts w:cs="Times New Roman"/>
          <w:b/>
          <w:sz w:val="20"/>
          <w:szCs w:val="20"/>
        </w:rPr>
        <w:t>Hosted by:</w:t>
      </w:r>
      <w:r w:rsidRPr="00DD6B0D">
        <w:rPr>
          <w:rFonts w:cs="Times New Roman"/>
          <w:sz w:val="20"/>
          <w:szCs w:val="20"/>
        </w:rPr>
        <w:t xml:space="preserve"> </w:t>
      </w:r>
      <w:r w:rsidRPr="00422A47">
        <w:rPr>
          <w:rFonts w:cs="Times New Roman"/>
          <w:sz w:val="20"/>
          <w:szCs w:val="20"/>
        </w:rPr>
        <w:t>Constanta Maritime University</w:t>
      </w:r>
      <w:r w:rsidRPr="00DD6B0D">
        <w:rPr>
          <w:rFonts w:cs="Times New Roman"/>
          <w:sz w:val="20"/>
          <w:szCs w:val="20"/>
        </w:rPr>
        <w:t xml:space="preserve"> </w:t>
      </w:r>
    </w:p>
    <w:p w:rsidR="00422A47" w:rsidRPr="00DD6B0D" w:rsidRDefault="00422A47" w:rsidP="00422A47">
      <w:pPr>
        <w:tabs>
          <w:tab w:val="left" w:pos="0"/>
          <w:tab w:val="left" w:pos="828"/>
          <w:tab w:val="left" w:pos="1044"/>
          <w:tab w:val="left" w:pos="1260"/>
          <w:tab w:val="left" w:pos="1476"/>
          <w:tab w:val="left" w:pos="1692"/>
          <w:tab w:val="left" w:pos="2160"/>
        </w:tabs>
        <w:spacing w:after="0" w:line="240" w:lineRule="auto"/>
        <w:jc w:val="both"/>
        <w:rPr>
          <w:rFonts w:cs="Times New Roman"/>
          <w:sz w:val="20"/>
          <w:szCs w:val="20"/>
        </w:rPr>
      </w:pPr>
      <w:r w:rsidRPr="00DD6B0D">
        <w:rPr>
          <w:rFonts w:cs="Times New Roman"/>
          <w:b/>
          <w:sz w:val="20"/>
          <w:szCs w:val="20"/>
        </w:rPr>
        <w:t xml:space="preserve">Location and venue: </w:t>
      </w:r>
      <w:r w:rsidRPr="00422A47">
        <w:rPr>
          <w:rFonts w:cs="Times New Roman"/>
          <w:sz w:val="20"/>
          <w:szCs w:val="20"/>
        </w:rPr>
        <w:t>104, Mircea cel Batran St. Constanta, 900663, Romania</w:t>
      </w:r>
    </w:p>
    <w:p w:rsidR="00422A47" w:rsidRPr="00DD6B0D" w:rsidRDefault="00422A47" w:rsidP="00422A47">
      <w:pPr>
        <w:tabs>
          <w:tab w:val="left" w:pos="0"/>
          <w:tab w:val="left" w:pos="828"/>
          <w:tab w:val="left" w:pos="1044"/>
          <w:tab w:val="left" w:pos="1260"/>
          <w:tab w:val="left" w:pos="1476"/>
          <w:tab w:val="left" w:pos="1692"/>
          <w:tab w:val="left" w:pos="2160"/>
        </w:tabs>
        <w:spacing w:after="0" w:line="240" w:lineRule="auto"/>
        <w:jc w:val="both"/>
        <w:rPr>
          <w:rFonts w:cs="Times New Roman"/>
          <w:sz w:val="20"/>
          <w:szCs w:val="20"/>
        </w:rPr>
      </w:pPr>
      <w:r w:rsidRPr="00DD6B0D">
        <w:rPr>
          <w:rFonts w:cs="Times New Roman"/>
          <w:b/>
          <w:sz w:val="20"/>
          <w:szCs w:val="20"/>
        </w:rPr>
        <w:t xml:space="preserve">Local hosts: </w:t>
      </w:r>
      <w:r w:rsidRPr="00422A47">
        <w:rPr>
          <w:rFonts w:cs="Times New Roman"/>
          <w:sz w:val="20"/>
          <w:szCs w:val="20"/>
        </w:rPr>
        <w:t xml:space="preserve">Nicoleta </w:t>
      </w:r>
      <w:r>
        <w:rPr>
          <w:rFonts w:cs="Times New Roman"/>
          <w:sz w:val="20"/>
          <w:szCs w:val="20"/>
        </w:rPr>
        <w:t>Acomi, Corina Varsami, Alina Bostina</w:t>
      </w:r>
    </w:p>
    <w:p w:rsidR="00422A47" w:rsidRPr="00DD6B0D" w:rsidRDefault="00422A47" w:rsidP="00422A47">
      <w:pPr>
        <w:spacing w:after="0" w:line="240" w:lineRule="auto"/>
        <w:rPr>
          <w:rFonts w:cs="Times New Roman"/>
          <w:sz w:val="20"/>
          <w:szCs w:val="20"/>
        </w:rPr>
      </w:pPr>
      <w:r w:rsidRPr="00DD6B0D">
        <w:rPr>
          <w:rFonts w:cs="Times New Roman"/>
          <w:b/>
          <w:sz w:val="20"/>
          <w:szCs w:val="20"/>
        </w:rPr>
        <w:t xml:space="preserve">Contact: </w:t>
      </w:r>
      <w:hyperlink r:id="rId9" w:history="1">
        <w:r w:rsidRPr="00FB063A">
          <w:rPr>
            <w:rStyle w:val="Hyperlink"/>
          </w:rPr>
          <w:t>nicoleta.acomi@cmu-edu.eu</w:t>
        </w:r>
      </w:hyperlink>
      <w:r>
        <w:t>, +40721287877</w:t>
      </w:r>
    </w:p>
    <w:p w:rsidR="00422A47" w:rsidRPr="00DD6B0D" w:rsidRDefault="00422A47" w:rsidP="00422A47">
      <w:pPr>
        <w:spacing w:after="0"/>
        <w:rPr>
          <w:rFonts w:cs="Times New Roman"/>
          <w:sz w:val="20"/>
          <w:szCs w:val="20"/>
        </w:rPr>
      </w:pPr>
    </w:p>
    <w:p w:rsidR="00422A47" w:rsidRPr="0062311A" w:rsidRDefault="00422A47" w:rsidP="00422A47">
      <w:pPr>
        <w:spacing w:after="0"/>
        <w:ind w:firstLine="720"/>
        <w:rPr>
          <w:rFonts w:cs="Times New Roman"/>
          <w:sz w:val="20"/>
          <w:szCs w:val="20"/>
        </w:rPr>
      </w:pPr>
    </w:p>
    <w:p w:rsidR="00422A47" w:rsidRPr="0062311A" w:rsidRDefault="00422A47" w:rsidP="00422A47">
      <w:pPr>
        <w:spacing w:after="0"/>
        <w:ind w:firstLine="720"/>
        <w:rPr>
          <w:rFonts w:cs="Times New Roman"/>
          <w:b/>
          <w:sz w:val="28"/>
          <w:szCs w:val="28"/>
        </w:rPr>
      </w:pPr>
      <w:r w:rsidRPr="0062311A">
        <w:rPr>
          <w:rFonts w:cs="Times New Roman"/>
          <w:b/>
          <w:sz w:val="28"/>
          <w:szCs w:val="28"/>
        </w:rPr>
        <w:t>MINUTES</w:t>
      </w:r>
    </w:p>
    <w:p w:rsidR="00422A47" w:rsidRDefault="00422A47" w:rsidP="009251D0">
      <w:pPr>
        <w:spacing w:line="240" w:lineRule="auto"/>
        <w:rPr>
          <w:b/>
          <w:noProof/>
          <w:sz w:val="24"/>
          <w:szCs w:val="24"/>
          <w:lang w:val="ro-RO"/>
        </w:rPr>
      </w:pPr>
    </w:p>
    <w:p w:rsidR="00422A47" w:rsidRPr="00B16381" w:rsidRDefault="00422A47" w:rsidP="00422A47">
      <w:pPr>
        <w:spacing w:after="0"/>
        <w:rPr>
          <w:rFonts w:cstheme="minorHAnsi"/>
          <w:b/>
          <w:sz w:val="32"/>
          <w:szCs w:val="32"/>
        </w:rPr>
      </w:pPr>
      <w:r w:rsidRPr="00B16381">
        <w:rPr>
          <w:rFonts w:cstheme="minorHAnsi"/>
          <w:b/>
          <w:sz w:val="32"/>
          <w:szCs w:val="32"/>
        </w:rPr>
        <w:t>Day 1, Tuesday, April 24, 2018</w:t>
      </w:r>
    </w:p>
    <w:p w:rsidR="000A3C5E" w:rsidRDefault="000A3C5E" w:rsidP="0062311A">
      <w:pPr>
        <w:spacing w:line="240" w:lineRule="auto"/>
        <w:rPr>
          <w:b/>
          <w:noProof/>
          <w:sz w:val="24"/>
          <w:szCs w:val="24"/>
          <w:lang w:val="ro-RO"/>
        </w:rPr>
      </w:pPr>
    </w:p>
    <w:p w:rsidR="00422A47" w:rsidRPr="002A277E" w:rsidRDefault="00422A47" w:rsidP="0062311A">
      <w:pPr>
        <w:spacing w:line="240" w:lineRule="auto"/>
        <w:rPr>
          <w:sz w:val="24"/>
          <w:szCs w:val="24"/>
        </w:rPr>
        <w:sectPr w:rsidR="00422A47" w:rsidRPr="002A277E" w:rsidSect="002A277E">
          <w:headerReference w:type="default" r:id="rId10"/>
          <w:footerReference w:type="default" r:id="rId11"/>
          <w:type w:val="continuous"/>
          <w:pgSz w:w="11907" w:h="16840" w:code="9"/>
          <w:pgMar w:top="1134" w:right="1276" w:bottom="567" w:left="1276" w:header="720" w:footer="720" w:gutter="0"/>
          <w:cols w:space="720"/>
          <w:docGrid w:linePitch="360"/>
        </w:sectPr>
      </w:pPr>
    </w:p>
    <w:p w:rsidR="009251D0" w:rsidRPr="009251D0" w:rsidRDefault="009251D0" w:rsidP="00422A47">
      <w:pPr>
        <w:tabs>
          <w:tab w:val="left" w:pos="4370"/>
          <w:tab w:val="center" w:pos="4677"/>
        </w:tabs>
        <w:spacing w:after="0"/>
        <w:jc w:val="both"/>
        <w:rPr>
          <w:rFonts w:cs="Times New Roman"/>
          <w:b/>
          <w:sz w:val="20"/>
          <w:szCs w:val="20"/>
        </w:rPr>
      </w:pPr>
      <w:r w:rsidRPr="009251D0">
        <w:rPr>
          <w:rFonts w:cs="Times New Roman"/>
          <w:b/>
          <w:sz w:val="20"/>
          <w:szCs w:val="20"/>
        </w:rPr>
        <w:t>Introduction to the project presented by Nicoleta Acomi (CMU, RO)</w:t>
      </w:r>
      <w:r w:rsidR="00422A47">
        <w:rPr>
          <w:rFonts w:cs="Times New Roman"/>
          <w:b/>
          <w:sz w:val="20"/>
          <w:szCs w:val="20"/>
        </w:rPr>
        <w:t xml:space="preserve">. </w:t>
      </w:r>
      <w:r w:rsidR="00422A47" w:rsidRPr="00422A47">
        <w:rPr>
          <w:rFonts w:cs="Times New Roman"/>
          <w:b/>
          <w:sz w:val="20"/>
          <w:szCs w:val="20"/>
        </w:rPr>
        <w:t>Project overview and status of implementation.</w:t>
      </w:r>
      <w:r w:rsidR="00422A47">
        <w:rPr>
          <w:rFonts w:cs="Times New Roman"/>
          <w:b/>
          <w:sz w:val="20"/>
          <w:szCs w:val="20"/>
        </w:rPr>
        <w:t xml:space="preserve"> </w:t>
      </w:r>
      <w:r w:rsidR="00422A47" w:rsidRPr="00422A47">
        <w:rPr>
          <w:rFonts w:cs="Times New Roman"/>
          <w:b/>
          <w:sz w:val="20"/>
          <w:szCs w:val="20"/>
        </w:rPr>
        <w:t>Discussions – the results of evaluation after 1,5 years</w:t>
      </w:r>
    </w:p>
    <w:p w:rsidR="00690B4E" w:rsidRPr="00422A47" w:rsidRDefault="009251D0" w:rsidP="00422A47">
      <w:pPr>
        <w:tabs>
          <w:tab w:val="left" w:pos="4370"/>
          <w:tab w:val="center" w:pos="4677"/>
        </w:tabs>
        <w:spacing w:after="0"/>
        <w:jc w:val="both"/>
        <w:rPr>
          <w:rFonts w:cs="Times New Roman"/>
          <w:sz w:val="20"/>
          <w:szCs w:val="20"/>
        </w:rPr>
      </w:pPr>
      <w:r>
        <w:rPr>
          <w:rFonts w:cs="Times New Roman"/>
          <w:sz w:val="20"/>
          <w:szCs w:val="20"/>
        </w:rPr>
        <w:t xml:space="preserve">Mrs. Acomi </w:t>
      </w:r>
      <w:r w:rsidR="00802FCC">
        <w:rPr>
          <w:rFonts w:cs="Times New Roman"/>
          <w:sz w:val="20"/>
          <w:szCs w:val="20"/>
        </w:rPr>
        <w:t>delivered the welcome speech, thanking all partners for being able to attend the meeting. She presented an overview of the project and the status of implementation</w:t>
      </w:r>
      <w:r w:rsidR="00CF5B29">
        <w:rPr>
          <w:rFonts w:cs="Times New Roman"/>
          <w:sz w:val="20"/>
          <w:szCs w:val="20"/>
        </w:rPr>
        <w:t>.</w:t>
      </w:r>
      <w:r>
        <w:rPr>
          <w:rFonts w:cs="Times New Roman"/>
          <w:sz w:val="20"/>
          <w:szCs w:val="20"/>
        </w:rPr>
        <w:t xml:space="preserve"> Finally, she overviewed the timeline and the financial issues taken into consideration. </w:t>
      </w:r>
    </w:p>
    <w:p w:rsidR="00690B4E" w:rsidRPr="0062311A" w:rsidRDefault="00690B4E" w:rsidP="00C95A6C">
      <w:pPr>
        <w:spacing w:after="0"/>
        <w:rPr>
          <w:rFonts w:cs="Times New Roman"/>
          <w:sz w:val="20"/>
          <w:szCs w:val="20"/>
        </w:rPr>
      </w:pPr>
    </w:p>
    <w:p w:rsidR="00631EBE" w:rsidRDefault="00422A47" w:rsidP="00422A47">
      <w:pPr>
        <w:spacing w:after="0"/>
        <w:jc w:val="both"/>
        <w:rPr>
          <w:rFonts w:cs="Times New Roman"/>
          <w:b/>
          <w:sz w:val="20"/>
          <w:szCs w:val="20"/>
        </w:rPr>
      </w:pPr>
      <w:r w:rsidRPr="00422A47">
        <w:rPr>
          <w:rFonts w:cs="Times New Roman"/>
          <w:b/>
          <w:sz w:val="20"/>
          <w:szCs w:val="20"/>
        </w:rPr>
        <w:t>Pilot courses. Tools and techniques to assess the quality of deliverables and of the processes</w:t>
      </w:r>
      <w:r>
        <w:rPr>
          <w:rFonts w:cs="Times New Roman"/>
          <w:b/>
          <w:sz w:val="20"/>
          <w:szCs w:val="20"/>
        </w:rPr>
        <w:t xml:space="preserve">. </w:t>
      </w:r>
      <w:r w:rsidRPr="00422A47">
        <w:rPr>
          <w:rFonts w:cs="Times New Roman"/>
          <w:b/>
          <w:sz w:val="20"/>
          <w:szCs w:val="20"/>
        </w:rPr>
        <w:t>Recommendations for recognition and validation of work-related skills and learning outcomes</w:t>
      </w:r>
      <w:r w:rsidRPr="00422A47">
        <w:rPr>
          <w:rFonts w:cs="Times New Roman"/>
          <w:b/>
          <w:sz w:val="20"/>
          <w:szCs w:val="20"/>
        </w:rPr>
        <w:t xml:space="preserve"> </w:t>
      </w:r>
    </w:p>
    <w:p w:rsidR="00135A72" w:rsidRDefault="00CF5B29" w:rsidP="00135A72">
      <w:pPr>
        <w:jc w:val="both"/>
        <w:rPr>
          <w:rFonts w:cs="Times New Roman"/>
          <w:sz w:val="20"/>
          <w:szCs w:val="20"/>
        </w:rPr>
      </w:pPr>
      <w:r w:rsidRPr="00CF5B29">
        <w:rPr>
          <w:rFonts w:cs="Times New Roman"/>
          <w:sz w:val="20"/>
          <w:szCs w:val="20"/>
        </w:rPr>
        <w:t xml:space="preserve">Mrs. </w:t>
      </w:r>
      <w:r w:rsidR="00631EBE">
        <w:rPr>
          <w:rFonts w:cs="Times New Roman"/>
          <w:sz w:val="20"/>
          <w:szCs w:val="20"/>
        </w:rPr>
        <w:t>Nicoleta Acomi</w:t>
      </w:r>
      <w:r w:rsidR="00F670F9">
        <w:rPr>
          <w:rFonts w:cs="Times New Roman"/>
          <w:sz w:val="20"/>
          <w:szCs w:val="20"/>
        </w:rPr>
        <w:t xml:space="preserve"> </w:t>
      </w:r>
      <w:r w:rsidR="003C5843" w:rsidRPr="003C5843">
        <w:rPr>
          <w:rFonts w:cs="Times New Roman"/>
          <w:sz w:val="20"/>
          <w:szCs w:val="20"/>
        </w:rPr>
        <w:t>opened the meet</w:t>
      </w:r>
      <w:r w:rsidR="003C5843">
        <w:rPr>
          <w:rFonts w:cs="Times New Roman"/>
          <w:sz w:val="20"/>
          <w:szCs w:val="20"/>
        </w:rPr>
        <w:t xml:space="preserve">ing </w:t>
      </w:r>
      <w:r w:rsidR="00631EBE">
        <w:rPr>
          <w:rFonts w:cs="Times New Roman"/>
          <w:sz w:val="20"/>
          <w:szCs w:val="20"/>
        </w:rPr>
        <w:t>by talking about the results of evaluation of the project after 1.5 years</w:t>
      </w:r>
      <w:r w:rsidR="003C5843">
        <w:rPr>
          <w:rFonts w:cs="Times New Roman"/>
          <w:sz w:val="20"/>
          <w:szCs w:val="20"/>
        </w:rPr>
        <w:t>.</w:t>
      </w:r>
      <w:r w:rsidR="00631EBE">
        <w:rPr>
          <w:rFonts w:cs="Times New Roman"/>
          <w:sz w:val="20"/>
          <w:szCs w:val="20"/>
        </w:rPr>
        <w:t xml:space="preserve"> The most important results now are the pilot courses already delivered at CMU and to be delivered in Varna at the Naval Academy also. </w:t>
      </w:r>
      <w:r w:rsidR="003C5843">
        <w:rPr>
          <w:rFonts w:cs="Times New Roman"/>
          <w:sz w:val="20"/>
          <w:szCs w:val="20"/>
        </w:rPr>
        <w:t xml:space="preserve"> </w:t>
      </w:r>
      <w:r w:rsidR="00631EBE">
        <w:rPr>
          <w:rFonts w:cs="Times New Roman"/>
          <w:sz w:val="20"/>
          <w:szCs w:val="20"/>
        </w:rPr>
        <w:t>Partners from EACG discussed the necessary tools and techniques which could be used to assess the quality of deliverables and processes. They also made some recommendations for recognition and validation of work-related skills and learning outcomes</w:t>
      </w:r>
      <w:r>
        <w:rPr>
          <w:rFonts w:cs="Times New Roman"/>
          <w:sz w:val="20"/>
          <w:szCs w:val="20"/>
        </w:rPr>
        <w:t>.</w:t>
      </w:r>
      <w:r w:rsidR="00F670F9">
        <w:rPr>
          <w:rFonts w:cs="Times New Roman"/>
          <w:sz w:val="20"/>
          <w:szCs w:val="20"/>
        </w:rPr>
        <w:t xml:space="preserve"> </w:t>
      </w:r>
    </w:p>
    <w:p w:rsidR="00B16381" w:rsidRDefault="00B16381" w:rsidP="00B16381">
      <w:pPr>
        <w:spacing w:after="0"/>
        <w:jc w:val="both"/>
        <w:rPr>
          <w:rFonts w:cs="Times New Roman"/>
          <w:sz w:val="20"/>
          <w:szCs w:val="20"/>
        </w:rPr>
      </w:pPr>
      <w:r w:rsidRPr="00B16381">
        <w:rPr>
          <w:rFonts w:cs="Times New Roman"/>
          <w:b/>
          <w:sz w:val="20"/>
          <w:szCs w:val="20"/>
        </w:rPr>
        <w:t>Visibility of project results. Discussions: Measure the impact of dissemination activities</w:t>
      </w:r>
      <w:r w:rsidRPr="00B16381">
        <w:rPr>
          <w:rFonts w:cs="Times New Roman"/>
          <w:sz w:val="20"/>
          <w:szCs w:val="20"/>
        </w:rPr>
        <w:t xml:space="preserve"> </w:t>
      </w:r>
    </w:p>
    <w:p w:rsidR="00FF7F0E" w:rsidRDefault="00631EBE" w:rsidP="00135A72">
      <w:pPr>
        <w:jc w:val="both"/>
        <w:rPr>
          <w:rFonts w:cs="Times New Roman"/>
          <w:sz w:val="20"/>
          <w:szCs w:val="20"/>
        </w:rPr>
      </w:pPr>
      <w:r>
        <w:rPr>
          <w:rFonts w:cs="Times New Roman"/>
          <w:sz w:val="20"/>
          <w:szCs w:val="20"/>
        </w:rPr>
        <w:t xml:space="preserve">Later on, the visibility of project results was discussed. Mrs. Acomi presented the different ways in which the project was made visible until now and she also asked partners to enhance visibility by any methods they would consider appropriate for their own institution. Part of the visibility issue is considered to be the impact of the dissemination activities and the way such an impact could be measured. All partners </w:t>
      </w:r>
      <w:r w:rsidR="00E44D43">
        <w:rPr>
          <w:rFonts w:cs="Times New Roman"/>
          <w:sz w:val="20"/>
          <w:szCs w:val="20"/>
        </w:rPr>
        <w:t xml:space="preserve">participated with ideas such as evaluating the number of e-mails exchanged between partners or the number of visitors on the website as impact indicators. One of the main conclusions was that people became more acquainted with both soft and hard skills due to this project. Proposals were made for some workshops being organized in each partner institution in order to disseminate the results of the project and there was also a request for flyers or a poster presenting the project to be used at international conferences with the same purpose. </w:t>
      </w:r>
    </w:p>
    <w:p w:rsidR="00B16381" w:rsidRDefault="00B16381" w:rsidP="00B16381">
      <w:pPr>
        <w:spacing w:after="0"/>
        <w:jc w:val="both"/>
        <w:rPr>
          <w:rFonts w:cs="Times New Roman"/>
          <w:sz w:val="20"/>
          <w:szCs w:val="20"/>
        </w:rPr>
      </w:pPr>
      <w:r w:rsidRPr="00B16381">
        <w:rPr>
          <w:rFonts w:cs="Times New Roman"/>
          <w:b/>
          <w:sz w:val="20"/>
          <w:szCs w:val="20"/>
        </w:rPr>
        <w:lastRenderedPageBreak/>
        <w:t>Preparatory activities for the organization of the multiplier events 3 and 4 in RO and CY. Lessons learnt</w:t>
      </w:r>
      <w:r w:rsidRPr="00B16381">
        <w:rPr>
          <w:rFonts w:cs="Times New Roman"/>
          <w:sz w:val="20"/>
          <w:szCs w:val="20"/>
        </w:rPr>
        <w:t xml:space="preserve"> </w:t>
      </w:r>
    </w:p>
    <w:p w:rsidR="00631EBE" w:rsidRPr="0062311A" w:rsidRDefault="00FF7F0E" w:rsidP="00B16381">
      <w:pPr>
        <w:jc w:val="both"/>
        <w:rPr>
          <w:rFonts w:cs="Times New Roman"/>
          <w:sz w:val="20"/>
          <w:szCs w:val="20"/>
        </w:rPr>
      </w:pPr>
      <w:r>
        <w:rPr>
          <w:rFonts w:cs="Times New Roman"/>
          <w:sz w:val="20"/>
          <w:szCs w:val="20"/>
        </w:rPr>
        <w:t xml:space="preserve">In the last part of the day, </w:t>
      </w:r>
      <w:r w:rsidR="00D30D48">
        <w:rPr>
          <w:rFonts w:cs="Times New Roman"/>
          <w:sz w:val="20"/>
          <w:szCs w:val="20"/>
        </w:rPr>
        <w:t>Mrs. Acomi initiated the preparatory activities for the organization of the multiplier events 3 and 4 in Romania and Cyprus. It was therefore established for the multiplier event in Cyprus to be held on the 18</w:t>
      </w:r>
      <w:r w:rsidR="00D30D48" w:rsidRPr="00D30D48">
        <w:rPr>
          <w:rFonts w:cs="Times New Roman"/>
          <w:sz w:val="20"/>
          <w:szCs w:val="20"/>
          <w:vertAlign w:val="superscript"/>
        </w:rPr>
        <w:t>th</w:t>
      </w:r>
      <w:r w:rsidR="00D30D48">
        <w:rPr>
          <w:rFonts w:cs="Times New Roman"/>
          <w:sz w:val="20"/>
          <w:szCs w:val="20"/>
        </w:rPr>
        <w:t xml:space="preserve"> of June when all partners will be present in Cyprus for the next meeting. The “lesson learnt” input from the NVNA proved to be a very useful insight into the different difficulties encountered along the way by all partners. </w:t>
      </w:r>
      <w:r w:rsidR="00E44D43">
        <w:rPr>
          <w:rFonts w:cs="Times New Roman"/>
          <w:sz w:val="20"/>
          <w:szCs w:val="20"/>
        </w:rPr>
        <w:t xml:space="preserve"> </w:t>
      </w:r>
    </w:p>
    <w:p w:rsidR="00537FFD" w:rsidRDefault="00537FFD" w:rsidP="00C95A6C">
      <w:pPr>
        <w:spacing w:after="0"/>
        <w:rPr>
          <w:rFonts w:cs="Times New Roman"/>
          <w:sz w:val="20"/>
          <w:szCs w:val="20"/>
        </w:rPr>
      </w:pPr>
    </w:p>
    <w:p w:rsidR="00516FFC" w:rsidRPr="00B16381" w:rsidRDefault="00B16381" w:rsidP="00B16381">
      <w:pPr>
        <w:spacing w:after="0"/>
        <w:rPr>
          <w:rFonts w:cstheme="minorHAnsi"/>
          <w:b/>
          <w:sz w:val="32"/>
          <w:szCs w:val="32"/>
        </w:rPr>
      </w:pPr>
      <w:r w:rsidRPr="00B16381">
        <w:rPr>
          <w:rFonts w:cstheme="minorHAnsi"/>
          <w:b/>
          <w:sz w:val="32"/>
          <w:szCs w:val="32"/>
        </w:rPr>
        <w:t xml:space="preserve">Day </w:t>
      </w:r>
      <w:r>
        <w:rPr>
          <w:rFonts w:cstheme="minorHAnsi"/>
          <w:b/>
          <w:sz w:val="32"/>
          <w:szCs w:val="32"/>
        </w:rPr>
        <w:t>2</w:t>
      </w:r>
      <w:r w:rsidRPr="00B16381">
        <w:rPr>
          <w:rFonts w:cstheme="minorHAnsi"/>
          <w:b/>
          <w:sz w:val="32"/>
          <w:szCs w:val="32"/>
        </w:rPr>
        <w:t xml:space="preserve">, </w:t>
      </w:r>
      <w:r w:rsidRPr="00B16381">
        <w:rPr>
          <w:rFonts w:cstheme="minorHAnsi"/>
          <w:b/>
          <w:sz w:val="32"/>
          <w:szCs w:val="32"/>
        </w:rPr>
        <w:t>Wednesday,</w:t>
      </w:r>
      <w:r w:rsidRPr="00B16381">
        <w:rPr>
          <w:rFonts w:cstheme="minorHAnsi"/>
          <w:b/>
          <w:sz w:val="32"/>
          <w:szCs w:val="32"/>
        </w:rPr>
        <w:t xml:space="preserve"> April 2</w:t>
      </w:r>
      <w:r>
        <w:rPr>
          <w:rFonts w:cstheme="minorHAnsi"/>
          <w:b/>
          <w:sz w:val="32"/>
          <w:szCs w:val="32"/>
        </w:rPr>
        <w:t>5</w:t>
      </w:r>
      <w:r w:rsidRPr="00B16381">
        <w:rPr>
          <w:rFonts w:cstheme="minorHAnsi"/>
          <w:b/>
          <w:sz w:val="32"/>
          <w:szCs w:val="32"/>
        </w:rPr>
        <w:t>, 201</w:t>
      </w:r>
      <w:r>
        <w:rPr>
          <w:rFonts w:cstheme="minorHAnsi"/>
          <w:b/>
          <w:sz w:val="32"/>
          <w:szCs w:val="32"/>
        </w:rPr>
        <w:t>8</w:t>
      </w:r>
    </w:p>
    <w:p w:rsidR="00B16381" w:rsidRDefault="00B16381" w:rsidP="008A13BE">
      <w:pPr>
        <w:jc w:val="both"/>
        <w:rPr>
          <w:rFonts w:cs="Times New Roman"/>
          <w:sz w:val="20"/>
          <w:szCs w:val="20"/>
        </w:rPr>
      </w:pPr>
    </w:p>
    <w:p w:rsidR="00B16381" w:rsidRDefault="00B16381" w:rsidP="00B16381">
      <w:pPr>
        <w:spacing w:after="0"/>
        <w:jc w:val="both"/>
        <w:rPr>
          <w:rFonts w:cs="Times New Roman"/>
          <w:sz w:val="20"/>
          <w:szCs w:val="20"/>
        </w:rPr>
      </w:pPr>
      <w:r w:rsidRPr="00B16381">
        <w:rPr>
          <w:rFonts w:cs="Times New Roman"/>
          <w:b/>
          <w:sz w:val="20"/>
          <w:szCs w:val="20"/>
        </w:rPr>
        <w:t>Project budget. Estimation of the expenses for the remaining period of the project. Distribution of tasks for the next activities</w:t>
      </w:r>
      <w:r w:rsidRPr="00B16381">
        <w:rPr>
          <w:rFonts w:cs="Times New Roman"/>
          <w:sz w:val="20"/>
          <w:szCs w:val="20"/>
        </w:rPr>
        <w:t xml:space="preserve"> </w:t>
      </w:r>
    </w:p>
    <w:p w:rsidR="00EC3492" w:rsidRDefault="00A567BA" w:rsidP="00B16381">
      <w:pPr>
        <w:jc w:val="both"/>
        <w:rPr>
          <w:rFonts w:cs="Times New Roman"/>
          <w:sz w:val="20"/>
          <w:szCs w:val="20"/>
        </w:rPr>
      </w:pPr>
      <w:r w:rsidRPr="00A567BA">
        <w:rPr>
          <w:rFonts w:cs="Times New Roman"/>
          <w:sz w:val="20"/>
          <w:szCs w:val="20"/>
        </w:rPr>
        <w:t>Mr</w:t>
      </w:r>
      <w:r w:rsidR="008A13BE">
        <w:rPr>
          <w:rFonts w:cs="Times New Roman"/>
          <w:sz w:val="20"/>
          <w:szCs w:val="20"/>
        </w:rPr>
        <w:t xml:space="preserve">s. Nicoleta Acomi </w:t>
      </w:r>
      <w:r w:rsidRPr="00A567BA">
        <w:rPr>
          <w:rFonts w:cs="Times New Roman"/>
          <w:sz w:val="20"/>
          <w:szCs w:val="20"/>
        </w:rPr>
        <w:t xml:space="preserve">(CMU, RO) presented the </w:t>
      </w:r>
      <w:r w:rsidR="008A13BE">
        <w:rPr>
          <w:rFonts w:cs="Times New Roman"/>
          <w:sz w:val="20"/>
          <w:szCs w:val="20"/>
        </w:rPr>
        <w:t xml:space="preserve">project’s budget. An estimation of the expenses for the remaining period of the project was made. Each partner presented the distribution of the remaining budget for the next activities. </w:t>
      </w:r>
      <w:r w:rsidR="00EC3492">
        <w:rPr>
          <w:rFonts w:cs="Times New Roman"/>
          <w:sz w:val="20"/>
          <w:szCs w:val="20"/>
        </w:rPr>
        <w:t xml:space="preserve">The discussion included also the amount of allocated budget spent by each partner. One of the next activities to be delivered by the STC Group is the quality assurance report for the already developed criteria. Their proposal for the assessment includes 55 points to be checked for each course. By the end of May each responsible partner needs to verify all criteria and to make any comments related to the application of each request. It was also established that by the end of June, partners from STC shall provide the first results of their assessment. In this way, by the end of the project, each partner shall have the necessary time to make and changes and improvements for their courses to meet the final observations of the audit report. A Quality Report is also to be made for the E-Platform based on the </w:t>
      </w:r>
      <w:r w:rsidR="009340EF">
        <w:rPr>
          <w:rFonts w:cs="Times New Roman"/>
          <w:sz w:val="20"/>
          <w:szCs w:val="20"/>
        </w:rPr>
        <w:t xml:space="preserve">questions related to the platform and extracted from the 55 questions already mentioned in the report. </w:t>
      </w:r>
    </w:p>
    <w:p w:rsidR="00B16381" w:rsidRDefault="00B16381" w:rsidP="00B16381">
      <w:pPr>
        <w:spacing w:after="0"/>
        <w:jc w:val="both"/>
        <w:rPr>
          <w:rFonts w:cs="Times New Roman"/>
          <w:sz w:val="20"/>
          <w:szCs w:val="20"/>
        </w:rPr>
      </w:pPr>
      <w:r w:rsidRPr="00B16381">
        <w:rPr>
          <w:rFonts w:cs="Times New Roman"/>
          <w:b/>
          <w:sz w:val="20"/>
          <w:szCs w:val="20"/>
        </w:rPr>
        <w:t>Monitoring project progress and evaluation. Risk management</w:t>
      </w:r>
      <w:r w:rsidRPr="00B16381">
        <w:rPr>
          <w:rFonts w:cs="Times New Roman"/>
          <w:sz w:val="20"/>
          <w:szCs w:val="20"/>
        </w:rPr>
        <w:t xml:space="preserve"> </w:t>
      </w:r>
    </w:p>
    <w:p w:rsidR="009340EF" w:rsidRDefault="009340EF" w:rsidP="008A13BE">
      <w:pPr>
        <w:jc w:val="both"/>
        <w:rPr>
          <w:rFonts w:cs="Times New Roman"/>
          <w:sz w:val="20"/>
          <w:szCs w:val="20"/>
        </w:rPr>
      </w:pPr>
      <w:r>
        <w:rPr>
          <w:rFonts w:cs="Times New Roman"/>
          <w:sz w:val="20"/>
          <w:szCs w:val="20"/>
        </w:rPr>
        <w:t xml:space="preserve">For the final part of the meeting, the discussion was related to Risk Management including the monitoring process for progress and evaluation and a contingency plan. One of the main risks was considered to be the necessity for an extension of the project to which all partners already agreed hoping that such a risk </w:t>
      </w:r>
      <w:r w:rsidR="00C51132">
        <w:rPr>
          <w:rFonts w:cs="Times New Roman"/>
          <w:sz w:val="20"/>
          <w:szCs w:val="20"/>
        </w:rPr>
        <w:t>won’t materialize. The contingency plan should be prepared by CMU and finalized at the next meeting. When it comes to opportunities for future collaboration, partners discussed about continuing to work together on the platform even after the end of the project emphasizing the necessity for certification of the course as a basic requirement for the future.</w:t>
      </w:r>
    </w:p>
    <w:p w:rsidR="00601094" w:rsidRPr="00B16381" w:rsidRDefault="001511C2" w:rsidP="001511C2">
      <w:pPr>
        <w:spacing w:after="0"/>
        <w:jc w:val="center"/>
        <w:rPr>
          <w:rFonts w:cs="Times New Roman"/>
          <w:b/>
          <w:sz w:val="28"/>
          <w:szCs w:val="28"/>
        </w:rPr>
      </w:pPr>
      <w:r w:rsidRPr="00B16381">
        <w:rPr>
          <w:rFonts w:cs="Times New Roman"/>
          <w:b/>
          <w:sz w:val="28"/>
          <w:szCs w:val="28"/>
        </w:rPr>
        <w:t xml:space="preserve">Transnational Project Meeting </w:t>
      </w:r>
      <w:r w:rsidR="00B16381" w:rsidRPr="00B16381">
        <w:rPr>
          <w:rFonts w:cs="Times New Roman"/>
          <w:b/>
          <w:sz w:val="28"/>
          <w:szCs w:val="28"/>
        </w:rPr>
        <w:t>4</w:t>
      </w:r>
      <w:r w:rsidRPr="00B16381">
        <w:rPr>
          <w:rFonts w:cs="Times New Roman"/>
          <w:b/>
          <w:sz w:val="28"/>
          <w:szCs w:val="28"/>
        </w:rPr>
        <w:t xml:space="preserve">. </w:t>
      </w:r>
      <w:r w:rsidR="00601094" w:rsidRPr="00B16381">
        <w:rPr>
          <w:rFonts w:cs="Times New Roman"/>
          <w:b/>
          <w:sz w:val="28"/>
          <w:szCs w:val="28"/>
        </w:rPr>
        <w:t>Attendees</w:t>
      </w:r>
    </w:p>
    <w:p w:rsidR="00601094" w:rsidRDefault="00601094" w:rsidP="00601094">
      <w:pPr>
        <w:spacing w:after="0"/>
        <w:rPr>
          <w:rFonts w:cs="Times New Roman"/>
          <w:sz w:val="20"/>
          <w:szCs w:val="20"/>
        </w:rPr>
      </w:pPr>
    </w:p>
    <w:tbl>
      <w:tblPr>
        <w:tblStyle w:val="TableGrid"/>
        <w:tblW w:w="0" w:type="auto"/>
        <w:tblLook w:val="04A0" w:firstRow="1" w:lastRow="0" w:firstColumn="1" w:lastColumn="0" w:noHBand="0" w:noVBand="1"/>
      </w:tblPr>
      <w:tblGrid>
        <w:gridCol w:w="704"/>
        <w:gridCol w:w="3969"/>
        <w:gridCol w:w="4672"/>
      </w:tblGrid>
      <w:tr w:rsidR="00601094" w:rsidRPr="001511C2" w:rsidTr="00686C5A">
        <w:tc>
          <w:tcPr>
            <w:tcW w:w="704" w:type="dxa"/>
            <w:shd w:val="clear" w:color="auto" w:fill="BFBFBF" w:themeFill="background1" w:themeFillShade="BF"/>
          </w:tcPr>
          <w:p w:rsidR="00601094" w:rsidRPr="001511C2" w:rsidRDefault="00601094" w:rsidP="000A3C5E">
            <w:pPr>
              <w:tabs>
                <w:tab w:val="left" w:pos="1560"/>
              </w:tabs>
              <w:spacing w:line="276" w:lineRule="auto"/>
              <w:rPr>
                <w:rFonts w:cs="Times New Roman"/>
                <w:b/>
                <w:sz w:val="20"/>
                <w:szCs w:val="20"/>
              </w:rPr>
            </w:pPr>
            <w:r w:rsidRPr="001511C2">
              <w:rPr>
                <w:rFonts w:cs="Times New Roman"/>
                <w:b/>
                <w:sz w:val="20"/>
                <w:szCs w:val="20"/>
              </w:rPr>
              <w:t>No</w:t>
            </w:r>
          </w:p>
        </w:tc>
        <w:tc>
          <w:tcPr>
            <w:tcW w:w="3969" w:type="dxa"/>
            <w:shd w:val="clear" w:color="auto" w:fill="BFBFBF" w:themeFill="background1" w:themeFillShade="BF"/>
          </w:tcPr>
          <w:p w:rsidR="00601094" w:rsidRPr="001511C2" w:rsidRDefault="00601094" w:rsidP="000A3C5E">
            <w:pPr>
              <w:tabs>
                <w:tab w:val="left" w:pos="1560"/>
              </w:tabs>
              <w:spacing w:line="276" w:lineRule="auto"/>
              <w:rPr>
                <w:rFonts w:cs="Times New Roman"/>
                <w:b/>
                <w:sz w:val="20"/>
                <w:szCs w:val="20"/>
              </w:rPr>
            </w:pPr>
            <w:r w:rsidRPr="001511C2">
              <w:rPr>
                <w:rFonts w:cs="Times New Roman"/>
                <w:b/>
                <w:sz w:val="20"/>
                <w:szCs w:val="20"/>
              </w:rPr>
              <w:t>Name and Surname</w:t>
            </w:r>
          </w:p>
        </w:tc>
        <w:tc>
          <w:tcPr>
            <w:tcW w:w="4672" w:type="dxa"/>
            <w:shd w:val="clear" w:color="auto" w:fill="BFBFBF" w:themeFill="background1" w:themeFillShade="BF"/>
          </w:tcPr>
          <w:p w:rsidR="00601094" w:rsidRPr="001511C2" w:rsidRDefault="000F417F" w:rsidP="000A3C5E">
            <w:pPr>
              <w:tabs>
                <w:tab w:val="left" w:pos="1560"/>
              </w:tabs>
              <w:spacing w:line="276" w:lineRule="auto"/>
              <w:rPr>
                <w:rFonts w:cs="Times New Roman"/>
                <w:b/>
                <w:sz w:val="20"/>
                <w:szCs w:val="20"/>
              </w:rPr>
            </w:pPr>
            <w:r>
              <w:rPr>
                <w:rFonts w:cs="Times New Roman"/>
                <w:b/>
                <w:sz w:val="20"/>
                <w:szCs w:val="20"/>
              </w:rPr>
              <w:t>O</w:t>
            </w:r>
            <w:r w:rsidR="00601094" w:rsidRPr="001511C2">
              <w:rPr>
                <w:rFonts w:cs="Times New Roman"/>
                <w:b/>
                <w:sz w:val="20"/>
                <w:szCs w:val="20"/>
              </w:rPr>
              <w:t>rganization</w:t>
            </w:r>
          </w:p>
        </w:tc>
      </w:tr>
      <w:tr w:rsidR="008264E5" w:rsidRPr="001511C2" w:rsidTr="00686C5A">
        <w:tc>
          <w:tcPr>
            <w:tcW w:w="704" w:type="dxa"/>
          </w:tcPr>
          <w:p w:rsidR="008264E5" w:rsidRPr="005D3B0C" w:rsidRDefault="00265121" w:rsidP="005D3B0C">
            <w:pPr>
              <w:rPr>
                <w:sz w:val="20"/>
                <w:szCs w:val="20"/>
              </w:rPr>
            </w:pPr>
            <w:r w:rsidRPr="005D3B0C">
              <w:rPr>
                <w:sz w:val="20"/>
                <w:szCs w:val="20"/>
              </w:rPr>
              <w:t>1</w:t>
            </w:r>
          </w:p>
        </w:tc>
        <w:tc>
          <w:tcPr>
            <w:tcW w:w="3969" w:type="dxa"/>
          </w:tcPr>
          <w:p w:rsidR="008264E5" w:rsidRPr="001511C2" w:rsidRDefault="008264E5" w:rsidP="005D3B0C">
            <w:pPr>
              <w:rPr>
                <w:sz w:val="20"/>
                <w:szCs w:val="20"/>
              </w:rPr>
            </w:pPr>
            <w:r w:rsidRPr="001511C2">
              <w:rPr>
                <w:sz w:val="20"/>
                <w:szCs w:val="20"/>
              </w:rPr>
              <w:t>Aat Kroek</w:t>
            </w:r>
          </w:p>
        </w:tc>
        <w:tc>
          <w:tcPr>
            <w:tcW w:w="4672" w:type="dxa"/>
          </w:tcPr>
          <w:p w:rsidR="008264E5" w:rsidRPr="001511C2" w:rsidRDefault="008264E5" w:rsidP="005D3B0C">
            <w:pPr>
              <w:rPr>
                <w:sz w:val="20"/>
                <w:szCs w:val="20"/>
              </w:rPr>
            </w:pPr>
            <w:r w:rsidRPr="001511C2">
              <w:rPr>
                <w:sz w:val="20"/>
                <w:szCs w:val="20"/>
              </w:rPr>
              <w:t>Stichting STC-Group (STC-Group)</w:t>
            </w:r>
          </w:p>
        </w:tc>
      </w:tr>
      <w:tr w:rsidR="008264E5" w:rsidRPr="001511C2" w:rsidTr="00686C5A">
        <w:tc>
          <w:tcPr>
            <w:tcW w:w="704" w:type="dxa"/>
          </w:tcPr>
          <w:p w:rsidR="008264E5" w:rsidRPr="005D3B0C" w:rsidRDefault="00265121" w:rsidP="005D3B0C">
            <w:pPr>
              <w:rPr>
                <w:sz w:val="20"/>
                <w:szCs w:val="20"/>
              </w:rPr>
            </w:pPr>
            <w:r w:rsidRPr="005D3B0C">
              <w:rPr>
                <w:sz w:val="20"/>
                <w:szCs w:val="20"/>
              </w:rPr>
              <w:t>2</w:t>
            </w:r>
          </w:p>
        </w:tc>
        <w:tc>
          <w:tcPr>
            <w:tcW w:w="3969" w:type="dxa"/>
          </w:tcPr>
          <w:p w:rsidR="008264E5" w:rsidRPr="001511C2" w:rsidRDefault="008264E5" w:rsidP="005D3B0C">
            <w:pPr>
              <w:rPr>
                <w:sz w:val="20"/>
                <w:szCs w:val="20"/>
              </w:rPr>
            </w:pPr>
            <w:r w:rsidRPr="001511C2">
              <w:rPr>
                <w:sz w:val="20"/>
                <w:szCs w:val="20"/>
              </w:rPr>
              <w:t>Lucie Saxton</w:t>
            </w:r>
          </w:p>
        </w:tc>
        <w:tc>
          <w:tcPr>
            <w:tcW w:w="4672" w:type="dxa"/>
          </w:tcPr>
          <w:p w:rsidR="008264E5" w:rsidRPr="001511C2" w:rsidRDefault="008264E5" w:rsidP="005D3B0C">
            <w:pPr>
              <w:rPr>
                <w:sz w:val="20"/>
                <w:szCs w:val="20"/>
              </w:rPr>
            </w:pPr>
            <w:r w:rsidRPr="001511C2">
              <w:rPr>
                <w:sz w:val="20"/>
                <w:szCs w:val="20"/>
              </w:rPr>
              <w:t>Stichting STC-Group (STC-Group)</w:t>
            </w:r>
          </w:p>
        </w:tc>
      </w:tr>
      <w:tr w:rsidR="00B16381" w:rsidRPr="001511C2" w:rsidTr="00686C5A">
        <w:tc>
          <w:tcPr>
            <w:tcW w:w="704" w:type="dxa"/>
          </w:tcPr>
          <w:p w:rsidR="00B16381" w:rsidRPr="005D3B0C" w:rsidRDefault="00B16381" w:rsidP="005D3B0C">
            <w:pPr>
              <w:rPr>
                <w:sz w:val="20"/>
                <w:szCs w:val="20"/>
              </w:rPr>
            </w:pPr>
            <w:r w:rsidRPr="005D3B0C">
              <w:rPr>
                <w:sz w:val="20"/>
                <w:szCs w:val="20"/>
              </w:rPr>
              <w:t>3</w:t>
            </w:r>
          </w:p>
        </w:tc>
        <w:tc>
          <w:tcPr>
            <w:tcW w:w="3969" w:type="dxa"/>
          </w:tcPr>
          <w:p w:rsidR="00B16381" w:rsidRPr="005D3B0C" w:rsidRDefault="00B16381" w:rsidP="005D3B0C">
            <w:pPr>
              <w:rPr>
                <w:sz w:val="20"/>
                <w:szCs w:val="20"/>
              </w:rPr>
            </w:pPr>
            <w:r w:rsidRPr="005D3B0C">
              <w:rPr>
                <w:sz w:val="20"/>
                <w:szCs w:val="20"/>
              </w:rPr>
              <w:t>Gregoris Makrides</w:t>
            </w:r>
          </w:p>
        </w:tc>
        <w:tc>
          <w:tcPr>
            <w:tcW w:w="4672" w:type="dxa"/>
          </w:tcPr>
          <w:p w:rsidR="00B16381" w:rsidRPr="001511C2" w:rsidRDefault="005D3B0C" w:rsidP="005D3B0C">
            <w:pPr>
              <w:rPr>
                <w:sz w:val="20"/>
                <w:szCs w:val="20"/>
              </w:rPr>
            </w:pPr>
            <w:r w:rsidRPr="001511C2">
              <w:rPr>
                <w:sz w:val="20"/>
                <w:szCs w:val="20"/>
              </w:rPr>
              <w:t>European Association of Career Guidance (EACG)</w:t>
            </w:r>
          </w:p>
        </w:tc>
      </w:tr>
      <w:tr w:rsidR="00B16381" w:rsidRPr="001511C2" w:rsidTr="00686C5A">
        <w:tc>
          <w:tcPr>
            <w:tcW w:w="704" w:type="dxa"/>
          </w:tcPr>
          <w:p w:rsidR="00B16381" w:rsidRPr="005D3B0C" w:rsidRDefault="00B16381" w:rsidP="005D3B0C">
            <w:pPr>
              <w:rPr>
                <w:sz w:val="20"/>
                <w:szCs w:val="20"/>
              </w:rPr>
            </w:pPr>
            <w:r w:rsidRPr="005D3B0C">
              <w:rPr>
                <w:sz w:val="20"/>
                <w:szCs w:val="20"/>
              </w:rPr>
              <w:t>4</w:t>
            </w:r>
          </w:p>
        </w:tc>
        <w:tc>
          <w:tcPr>
            <w:tcW w:w="3969" w:type="dxa"/>
          </w:tcPr>
          <w:p w:rsidR="00B16381" w:rsidRPr="005D3B0C" w:rsidRDefault="00B16381" w:rsidP="005D3B0C">
            <w:pPr>
              <w:rPr>
                <w:sz w:val="20"/>
                <w:szCs w:val="20"/>
              </w:rPr>
            </w:pPr>
            <w:r w:rsidRPr="005D3B0C">
              <w:rPr>
                <w:sz w:val="20"/>
                <w:szCs w:val="20"/>
              </w:rPr>
              <w:t>Giannis Kalaitzis</w:t>
            </w:r>
          </w:p>
        </w:tc>
        <w:tc>
          <w:tcPr>
            <w:tcW w:w="4672" w:type="dxa"/>
          </w:tcPr>
          <w:p w:rsidR="00B16381" w:rsidRPr="001511C2" w:rsidRDefault="00B16381" w:rsidP="005D3B0C">
            <w:pPr>
              <w:rPr>
                <w:sz w:val="20"/>
                <w:szCs w:val="20"/>
              </w:rPr>
            </w:pPr>
            <w:r w:rsidRPr="001511C2">
              <w:rPr>
                <w:sz w:val="20"/>
                <w:szCs w:val="20"/>
              </w:rPr>
              <w:t>European Association of Career Guidance (EACG)</w:t>
            </w:r>
          </w:p>
        </w:tc>
      </w:tr>
      <w:tr w:rsidR="005D3B0C" w:rsidRPr="001511C2" w:rsidTr="00686C5A">
        <w:tc>
          <w:tcPr>
            <w:tcW w:w="704" w:type="dxa"/>
          </w:tcPr>
          <w:p w:rsidR="005D3B0C" w:rsidRPr="005D3B0C" w:rsidRDefault="005D3B0C" w:rsidP="005D3B0C">
            <w:pPr>
              <w:rPr>
                <w:sz w:val="20"/>
                <w:szCs w:val="20"/>
              </w:rPr>
            </w:pPr>
            <w:r w:rsidRPr="005D3B0C">
              <w:rPr>
                <w:sz w:val="20"/>
                <w:szCs w:val="20"/>
              </w:rPr>
              <w:t>5</w:t>
            </w:r>
          </w:p>
        </w:tc>
        <w:tc>
          <w:tcPr>
            <w:tcW w:w="3969" w:type="dxa"/>
          </w:tcPr>
          <w:p w:rsidR="005D3B0C" w:rsidRPr="005D3B0C" w:rsidRDefault="005D3B0C" w:rsidP="005D3B0C">
            <w:pPr>
              <w:rPr>
                <w:sz w:val="20"/>
                <w:szCs w:val="20"/>
              </w:rPr>
            </w:pPr>
            <w:r w:rsidRPr="005D3B0C">
              <w:rPr>
                <w:sz w:val="20"/>
                <w:szCs w:val="20"/>
              </w:rPr>
              <w:t>Danae Karatza</w:t>
            </w:r>
          </w:p>
        </w:tc>
        <w:tc>
          <w:tcPr>
            <w:tcW w:w="4672" w:type="dxa"/>
          </w:tcPr>
          <w:p w:rsidR="005D3B0C" w:rsidRPr="005D3B0C" w:rsidRDefault="005D3B0C" w:rsidP="005D3B0C">
            <w:pPr>
              <w:rPr>
                <w:sz w:val="20"/>
                <w:szCs w:val="20"/>
              </w:rPr>
            </w:pPr>
            <w:r w:rsidRPr="008A61FE">
              <w:rPr>
                <w:sz w:val="20"/>
                <w:szCs w:val="20"/>
              </w:rPr>
              <w:t>European Association of Career Guidance (EACG)</w:t>
            </w:r>
          </w:p>
        </w:tc>
      </w:tr>
      <w:tr w:rsidR="005D3B0C" w:rsidRPr="001511C2" w:rsidTr="00686C5A">
        <w:tc>
          <w:tcPr>
            <w:tcW w:w="704" w:type="dxa"/>
          </w:tcPr>
          <w:p w:rsidR="005D3B0C" w:rsidRPr="005D3B0C" w:rsidRDefault="005D3B0C" w:rsidP="005D3B0C">
            <w:pPr>
              <w:rPr>
                <w:sz w:val="20"/>
                <w:szCs w:val="20"/>
              </w:rPr>
            </w:pPr>
            <w:r w:rsidRPr="005D3B0C">
              <w:rPr>
                <w:sz w:val="20"/>
                <w:szCs w:val="20"/>
              </w:rPr>
              <w:t>6</w:t>
            </w:r>
          </w:p>
        </w:tc>
        <w:tc>
          <w:tcPr>
            <w:tcW w:w="3969" w:type="dxa"/>
          </w:tcPr>
          <w:p w:rsidR="005D3B0C" w:rsidRPr="005D3B0C" w:rsidRDefault="005D3B0C" w:rsidP="005D3B0C">
            <w:pPr>
              <w:rPr>
                <w:sz w:val="20"/>
                <w:szCs w:val="20"/>
              </w:rPr>
            </w:pPr>
            <w:r w:rsidRPr="005D3B0C">
              <w:rPr>
                <w:sz w:val="20"/>
                <w:szCs w:val="20"/>
              </w:rPr>
              <w:t>Christina Kontogoulidou</w:t>
            </w:r>
          </w:p>
        </w:tc>
        <w:tc>
          <w:tcPr>
            <w:tcW w:w="4672" w:type="dxa"/>
          </w:tcPr>
          <w:p w:rsidR="005D3B0C" w:rsidRPr="005D3B0C" w:rsidRDefault="005D3B0C" w:rsidP="005D3B0C">
            <w:pPr>
              <w:rPr>
                <w:sz w:val="20"/>
                <w:szCs w:val="20"/>
              </w:rPr>
            </w:pPr>
            <w:r w:rsidRPr="008A61FE">
              <w:rPr>
                <w:sz w:val="20"/>
                <w:szCs w:val="20"/>
              </w:rPr>
              <w:t>European Association of Career Guidance (EACG)</w:t>
            </w:r>
          </w:p>
        </w:tc>
      </w:tr>
      <w:tr w:rsidR="005D3B0C" w:rsidRPr="001511C2" w:rsidTr="00686C5A">
        <w:tc>
          <w:tcPr>
            <w:tcW w:w="704" w:type="dxa"/>
          </w:tcPr>
          <w:p w:rsidR="005D3B0C" w:rsidRPr="005D3B0C" w:rsidRDefault="005D3B0C" w:rsidP="005D3B0C">
            <w:pPr>
              <w:rPr>
                <w:sz w:val="20"/>
                <w:szCs w:val="20"/>
              </w:rPr>
            </w:pPr>
            <w:r w:rsidRPr="005D3B0C">
              <w:rPr>
                <w:sz w:val="20"/>
                <w:szCs w:val="20"/>
              </w:rPr>
              <w:t>7</w:t>
            </w:r>
          </w:p>
        </w:tc>
        <w:tc>
          <w:tcPr>
            <w:tcW w:w="3969" w:type="dxa"/>
          </w:tcPr>
          <w:p w:rsidR="005D3B0C" w:rsidRPr="005D3B0C" w:rsidRDefault="005D3B0C" w:rsidP="005D3B0C">
            <w:pPr>
              <w:rPr>
                <w:sz w:val="20"/>
                <w:szCs w:val="20"/>
              </w:rPr>
            </w:pPr>
            <w:r w:rsidRPr="005D3B0C">
              <w:rPr>
                <w:sz w:val="20"/>
                <w:szCs w:val="20"/>
              </w:rPr>
              <w:t>Zhivka Kostova</w:t>
            </w:r>
          </w:p>
        </w:tc>
        <w:tc>
          <w:tcPr>
            <w:tcW w:w="4672" w:type="dxa"/>
          </w:tcPr>
          <w:p w:rsidR="005D3B0C" w:rsidRPr="001511C2" w:rsidRDefault="005D3B0C" w:rsidP="005D3B0C">
            <w:pPr>
              <w:rPr>
                <w:sz w:val="20"/>
                <w:szCs w:val="20"/>
              </w:rPr>
            </w:pPr>
            <w:r w:rsidRPr="001511C2">
              <w:rPr>
                <w:sz w:val="20"/>
                <w:szCs w:val="20"/>
              </w:rPr>
              <w:t>Nikola Vaptsarov Naval Academy (NVNA)</w:t>
            </w:r>
          </w:p>
        </w:tc>
      </w:tr>
      <w:tr w:rsidR="005D3B0C" w:rsidRPr="001511C2" w:rsidTr="00686C5A">
        <w:tc>
          <w:tcPr>
            <w:tcW w:w="704" w:type="dxa"/>
          </w:tcPr>
          <w:p w:rsidR="005D3B0C" w:rsidRPr="005D3B0C" w:rsidRDefault="005D3B0C" w:rsidP="005D3B0C">
            <w:pPr>
              <w:rPr>
                <w:sz w:val="20"/>
                <w:szCs w:val="20"/>
              </w:rPr>
            </w:pPr>
            <w:r w:rsidRPr="005D3B0C">
              <w:rPr>
                <w:sz w:val="20"/>
                <w:szCs w:val="20"/>
              </w:rPr>
              <w:t>8</w:t>
            </w:r>
          </w:p>
        </w:tc>
        <w:tc>
          <w:tcPr>
            <w:tcW w:w="3969" w:type="dxa"/>
          </w:tcPr>
          <w:p w:rsidR="005D3B0C" w:rsidRPr="005D3B0C" w:rsidRDefault="005D3B0C" w:rsidP="005D3B0C">
            <w:pPr>
              <w:rPr>
                <w:sz w:val="20"/>
                <w:szCs w:val="20"/>
              </w:rPr>
            </w:pPr>
            <w:r w:rsidRPr="005D3B0C">
              <w:rPr>
                <w:sz w:val="20"/>
                <w:szCs w:val="20"/>
              </w:rPr>
              <w:t>Teodora Yaneva</w:t>
            </w:r>
          </w:p>
        </w:tc>
        <w:tc>
          <w:tcPr>
            <w:tcW w:w="4672" w:type="dxa"/>
          </w:tcPr>
          <w:p w:rsidR="005D3B0C" w:rsidRPr="001511C2" w:rsidRDefault="005D3B0C" w:rsidP="005D3B0C">
            <w:pPr>
              <w:rPr>
                <w:sz w:val="20"/>
                <w:szCs w:val="20"/>
              </w:rPr>
            </w:pPr>
            <w:r w:rsidRPr="001511C2">
              <w:rPr>
                <w:sz w:val="20"/>
                <w:szCs w:val="20"/>
              </w:rPr>
              <w:t>Nikola Vaptsarov Naval Academy (NVNA)</w:t>
            </w:r>
          </w:p>
        </w:tc>
      </w:tr>
      <w:tr w:rsidR="005D3B0C" w:rsidRPr="001511C2" w:rsidTr="00686C5A">
        <w:tc>
          <w:tcPr>
            <w:tcW w:w="704" w:type="dxa"/>
          </w:tcPr>
          <w:p w:rsidR="005D3B0C" w:rsidRPr="005D3B0C" w:rsidRDefault="005D3B0C" w:rsidP="005D3B0C">
            <w:pPr>
              <w:rPr>
                <w:sz w:val="20"/>
                <w:szCs w:val="20"/>
              </w:rPr>
            </w:pPr>
            <w:r w:rsidRPr="005D3B0C">
              <w:rPr>
                <w:sz w:val="20"/>
                <w:szCs w:val="20"/>
              </w:rPr>
              <w:t>9</w:t>
            </w:r>
          </w:p>
        </w:tc>
        <w:tc>
          <w:tcPr>
            <w:tcW w:w="3969" w:type="dxa"/>
          </w:tcPr>
          <w:p w:rsidR="005D3B0C" w:rsidRPr="001511C2" w:rsidRDefault="005D3B0C" w:rsidP="005D3B0C">
            <w:pPr>
              <w:rPr>
                <w:sz w:val="20"/>
                <w:szCs w:val="20"/>
              </w:rPr>
            </w:pPr>
            <w:r w:rsidRPr="001511C2">
              <w:rPr>
                <w:sz w:val="20"/>
                <w:szCs w:val="20"/>
              </w:rPr>
              <w:t>Mircea Zus</w:t>
            </w:r>
          </w:p>
        </w:tc>
        <w:tc>
          <w:tcPr>
            <w:tcW w:w="4672" w:type="dxa"/>
          </w:tcPr>
          <w:p w:rsidR="005D3B0C" w:rsidRPr="001511C2" w:rsidRDefault="005D3B0C" w:rsidP="005D3B0C">
            <w:pPr>
              <w:rPr>
                <w:sz w:val="20"/>
                <w:szCs w:val="20"/>
              </w:rPr>
            </w:pPr>
            <w:r w:rsidRPr="001511C2">
              <w:rPr>
                <w:sz w:val="20"/>
                <w:szCs w:val="20"/>
              </w:rPr>
              <w:t>Constanta Maritime University (CMU)</w:t>
            </w:r>
          </w:p>
        </w:tc>
      </w:tr>
      <w:tr w:rsidR="005D3B0C" w:rsidRPr="001511C2" w:rsidTr="00686C5A">
        <w:tc>
          <w:tcPr>
            <w:tcW w:w="704" w:type="dxa"/>
          </w:tcPr>
          <w:p w:rsidR="005D3B0C" w:rsidRPr="005D3B0C" w:rsidRDefault="005D3B0C" w:rsidP="005D3B0C">
            <w:pPr>
              <w:rPr>
                <w:sz w:val="20"/>
                <w:szCs w:val="20"/>
              </w:rPr>
            </w:pPr>
            <w:r w:rsidRPr="005D3B0C">
              <w:rPr>
                <w:sz w:val="20"/>
                <w:szCs w:val="20"/>
              </w:rPr>
              <w:t>10</w:t>
            </w:r>
          </w:p>
        </w:tc>
        <w:tc>
          <w:tcPr>
            <w:tcW w:w="3969" w:type="dxa"/>
          </w:tcPr>
          <w:p w:rsidR="005D3B0C" w:rsidRPr="001511C2" w:rsidRDefault="005D3B0C" w:rsidP="005D3B0C">
            <w:pPr>
              <w:rPr>
                <w:sz w:val="20"/>
                <w:szCs w:val="20"/>
              </w:rPr>
            </w:pPr>
            <w:r w:rsidRPr="001511C2">
              <w:rPr>
                <w:sz w:val="20"/>
                <w:szCs w:val="20"/>
              </w:rPr>
              <w:t>Nicoleta Acomi</w:t>
            </w:r>
          </w:p>
        </w:tc>
        <w:tc>
          <w:tcPr>
            <w:tcW w:w="4672" w:type="dxa"/>
          </w:tcPr>
          <w:p w:rsidR="005D3B0C" w:rsidRPr="001511C2" w:rsidRDefault="005D3B0C" w:rsidP="005D3B0C">
            <w:pPr>
              <w:rPr>
                <w:sz w:val="20"/>
                <w:szCs w:val="20"/>
              </w:rPr>
            </w:pPr>
            <w:r w:rsidRPr="001511C2">
              <w:rPr>
                <w:sz w:val="20"/>
                <w:szCs w:val="20"/>
              </w:rPr>
              <w:t>Constanta Maritime University (CMU)</w:t>
            </w:r>
          </w:p>
        </w:tc>
      </w:tr>
      <w:tr w:rsidR="005D3B0C" w:rsidRPr="001511C2" w:rsidTr="00686C5A">
        <w:tc>
          <w:tcPr>
            <w:tcW w:w="704" w:type="dxa"/>
          </w:tcPr>
          <w:p w:rsidR="005D3B0C" w:rsidRPr="005D3B0C" w:rsidRDefault="005D3B0C" w:rsidP="005D3B0C">
            <w:pPr>
              <w:rPr>
                <w:sz w:val="20"/>
                <w:szCs w:val="20"/>
              </w:rPr>
            </w:pPr>
            <w:r w:rsidRPr="005D3B0C">
              <w:rPr>
                <w:sz w:val="20"/>
                <w:szCs w:val="20"/>
              </w:rPr>
              <w:t>11</w:t>
            </w:r>
          </w:p>
        </w:tc>
        <w:tc>
          <w:tcPr>
            <w:tcW w:w="3969" w:type="dxa"/>
          </w:tcPr>
          <w:p w:rsidR="005D3B0C" w:rsidRPr="001511C2" w:rsidRDefault="005D3B0C" w:rsidP="005D3B0C">
            <w:pPr>
              <w:rPr>
                <w:sz w:val="20"/>
                <w:szCs w:val="20"/>
              </w:rPr>
            </w:pPr>
            <w:r>
              <w:rPr>
                <w:sz w:val="20"/>
                <w:szCs w:val="20"/>
              </w:rPr>
              <w:t>Corina Varsami</w:t>
            </w:r>
          </w:p>
        </w:tc>
        <w:tc>
          <w:tcPr>
            <w:tcW w:w="4672" w:type="dxa"/>
          </w:tcPr>
          <w:p w:rsidR="005D3B0C" w:rsidRPr="001511C2" w:rsidRDefault="005D3B0C" w:rsidP="005D3B0C">
            <w:pPr>
              <w:rPr>
                <w:sz w:val="20"/>
                <w:szCs w:val="20"/>
              </w:rPr>
            </w:pPr>
            <w:r w:rsidRPr="001511C2">
              <w:rPr>
                <w:sz w:val="20"/>
                <w:szCs w:val="20"/>
              </w:rPr>
              <w:t>Constanta Maritime University (CMU)</w:t>
            </w:r>
          </w:p>
        </w:tc>
      </w:tr>
      <w:tr w:rsidR="005D3B0C" w:rsidRPr="001511C2" w:rsidTr="00686C5A">
        <w:tc>
          <w:tcPr>
            <w:tcW w:w="704" w:type="dxa"/>
          </w:tcPr>
          <w:p w:rsidR="005D3B0C" w:rsidRPr="005D3B0C" w:rsidRDefault="005D3B0C" w:rsidP="005D3B0C">
            <w:pPr>
              <w:rPr>
                <w:sz w:val="20"/>
                <w:szCs w:val="20"/>
              </w:rPr>
            </w:pPr>
            <w:r w:rsidRPr="005D3B0C">
              <w:rPr>
                <w:sz w:val="20"/>
                <w:szCs w:val="20"/>
              </w:rPr>
              <w:t>12</w:t>
            </w:r>
          </w:p>
        </w:tc>
        <w:tc>
          <w:tcPr>
            <w:tcW w:w="3969" w:type="dxa"/>
          </w:tcPr>
          <w:p w:rsidR="005D3B0C" w:rsidRDefault="005D3B0C" w:rsidP="005D3B0C">
            <w:pPr>
              <w:rPr>
                <w:sz w:val="20"/>
                <w:szCs w:val="20"/>
              </w:rPr>
            </w:pPr>
            <w:r>
              <w:rPr>
                <w:sz w:val="20"/>
                <w:szCs w:val="20"/>
              </w:rPr>
              <w:t>Alina Bostina</w:t>
            </w:r>
          </w:p>
        </w:tc>
        <w:tc>
          <w:tcPr>
            <w:tcW w:w="4672" w:type="dxa"/>
          </w:tcPr>
          <w:p w:rsidR="005D3B0C" w:rsidRPr="001511C2" w:rsidRDefault="005D3B0C" w:rsidP="005D3B0C">
            <w:pPr>
              <w:rPr>
                <w:sz w:val="20"/>
                <w:szCs w:val="20"/>
              </w:rPr>
            </w:pPr>
            <w:r w:rsidRPr="00265121">
              <w:rPr>
                <w:sz w:val="20"/>
                <w:szCs w:val="20"/>
              </w:rPr>
              <w:t>Constanta Maritime University (CMU)</w:t>
            </w:r>
          </w:p>
        </w:tc>
      </w:tr>
    </w:tbl>
    <w:p w:rsidR="001511C2" w:rsidRPr="0062311A" w:rsidRDefault="000A3C5E" w:rsidP="000A3C5E">
      <w:pPr>
        <w:tabs>
          <w:tab w:val="left" w:pos="1560"/>
        </w:tabs>
        <w:spacing w:line="276" w:lineRule="auto"/>
        <w:rPr>
          <w:rFonts w:cs="Times New Roman"/>
          <w:sz w:val="20"/>
          <w:szCs w:val="20"/>
        </w:rPr>
      </w:pPr>
      <w:r>
        <w:rPr>
          <w:rFonts w:cs="Times New Roman"/>
          <w:sz w:val="20"/>
          <w:szCs w:val="20"/>
        </w:rPr>
        <w:tab/>
      </w:r>
    </w:p>
    <w:sectPr w:rsidR="001511C2" w:rsidRPr="0062311A" w:rsidSect="002A277E">
      <w:type w:val="continuous"/>
      <w:pgSz w:w="11907" w:h="16840" w:code="9"/>
      <w:pgMar w:top="1134" w:right="1276" w:bottom="567"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D7C" w:rsidRDefault="00866D7C" w:rsidP="00880495">
      <w:pPr>
        <w:spacing w:after="0" w:line="240" w:lineRule="auto"/>
      </w:pPr>
      <w:r>
        <w:separator/>
      </w:r>
    </w:p>
  </w:endnote>
  <w:endnote w:type="continuationSeparator" w:id="0">
    <w:p w:rsidR="00866D7C" w:rsidRDefault="00866D7C" w:rsidP="0088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Ind w:w="108" w:type="dxa"/>
      <w:tblBorders>
        <w:top w:val="dashDotStroked" w:sz="24" w:space="0" w:color="00B0F0"/>
        <w:left w:val="none" w:sz="0" w:space="0" w:color="auto"/>
        <w:bottom w:val="dashDotStroked" w:sz="24" w:space="0" w:color="00B0F0"/>
        <w:right w:val="none" w:sz="0" w:space="0" w:color="auto"/>
        <w:insideH w:val="none" w:sz="0" w:space="0" w:color="auto"/>
        <w:insideV w:val="none" w:sz="0" w:space="0" w:color="auto"/>
      </w:tblBorders>
      <w:tblLook w:val="04A0" w:firstRow="1" w:lastRow="0" w:firstColumn="1" w:lastColumn="0" w:noHBand="0" w:noVBand="1"/>
    </w:tblPr>
    <w:tblGrid>
      <w:gridCol w:w="2409"/>
      <w:gridCol w:w="2410"/>
      <w:gridCol w:w="2410"/>
      <w:gridCol w:w="2410"/>
    </w:tblGrid>
    <w:tr w:rsidR="00422A47" w:rsidTr="00636F20">
      <w:trPr>
        <w:trHeight w:val="568"/>
      </w:trPr>
      <w:tc>
        <w:tcPr>
          <w:tcW w:w="2409" w:type="dxa"/>
          <w:shd w:val="clear" w:color="auto" w:fill="auto"/>
        </w:tcPr>
        <w:p w:rsidR="00422A47" w:rsidRDefault="00422A47" w:rsidP="00880495">
          <w:pPr>
            <w:jc w:val="center"/>
            <w:rPr>
              <w:noProof/>
              <w:sz w:val="26"/>
              <w:szCs w:val="26"/>
            </w:rPr>
          </w:pPr>
          <w:r w:rsidRPr="00BD354B">
            <w:rPr>
              <w:noProof/>
              <w:sz w:val="26"/>
              <w:szCs w:val="26"/>
            </w:rPr>
            <w:drawing>
              <wp:anchor distT="0" distB="0" distL="114300" distR="114300" simplePos="0" relativeHeight="251667456" behindDoc="1" locked="0" layoutInCell="1" allowOverlap="1" wp14:anchorId="1170816E" wp14:editId="24221222">
                <wp:simplePos x="0" y="0"/>
                <wp:positionH relativeFrom="column">
                  <wp:posOffset>511810</wp:posOffset>
                </wp:positionH>
                <wp:positionV relativeFrom="paragraph">
                  <wp:posOffset>17145</wp:posOffset>
                </wp:positionV>
                <wp:extent cx="245877" cy="355600"/>
                <wp:effectExtent l="0" t="0" r="190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C R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860" cy="362806"/>
                        </a:xfrm>
                        <a:prstGeom prst="rect">
                          <a:avLst/>
                        </a:prstGeom>
                      </pic:spPr>
                    </pic:pic>
                  </a:graphicData>
                </a:graphic>
                <wp14:sizeRelH relativeFrom="page">
                  <wp14:pctWidth>0</wp14:pctWidth>
                </wp14:sizeRelH>
                <wp14:sizeRelV relativeFrom="page">
                  <wp14:pctHeight>0</wp14:pctHeight>
                </wp14:sizeRelV>
              </wp:anchor>
            </w:drawing>
          </w:r>
        </w:p>
        <w:p w:rsidR="00422A47" w:rsidRPr="00880495" w:rsidRDefault="00422A47" w:rsidP="00880495">
          <w:pPr>
            <w:tabs>
              <w:tab w:val="left" w:pos="1192"/>
            </w:tabs>
            <w:rPr>
              <w:noProof/>
              <w:sz w:val="26"/>
              <w:szCs w:val="26"/>
            </w:rPr>
          </w:pPr>
        </w:p>
      </w:tc>
      <w:tc>
        <w:tcPr>
          <w:tcW w:w="2410" w:type="dxa"/>
          <w:shd w:val="clear" w:color="auto" w:fill="auto"/>
        </w:tcPr>
        <w:p w:rsidR="00422A47" w:rsidRDefault="00422A47" w:rsidP="00880495">
          <w:pPr>
            <w:jc w:val="center"/>
            <w:rPr>
              <w:sz w:val="20"/>
              <w:szCs w:val="20"/>
            </w:rPr>
          </w:pPr>
          <w:r>
            <w:rPr>
              <w:noProof/>
            </w:rPr>
            <w:drawing>
              <wp:inline distT="0" distB="0" distL="0" distR="0" wp14:anchorId="4A1E6C88" wp14:editId="0C367081">
                <wp:extent cx="450219" cy="342900"/>
                <wp:effectExtent l="0" t="0" r="6985" b="0"/>
                <wp:docPr id="5" name="Picture 5" descr="Image result for EA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C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1808" cy="351727"/>
                        </a:xfrm>
                        <a:prstGeom prst="rect">
                          <a:avLst/>
                        </a:prstGeom>
                        <a:noFill/>
                        <a:ln>
                          <a:noFill/>
                        </a:ln>
                      </pic:spPr>
                    </pic:pic>
                  </a:graphicData>
                </a:graphic>
              </wp:inline>
            </w:drawing>
          </w:r>
        </w:p>
      </w:tc>
      <w:tc>
        <w:tcPr>
          <w:tcW w:w="2410" w:type="dxa"/>
          <w:shd w:val="clear" w:color="auto" w:fill="auto"/>
        </w:tcPr>
        <w:p w:rsidR="00422A47" w:rsidRDefault="00422A47" w:rsidP="00880495">
          <w:pPr>
            <w:jc w:val="center"/>
            <w:rPr>
              <w:sz w:val="20"/>
              <w:szCs w:val="20"/>
            </w:rPr>
          </w:pPr>
          <w:r>
            <w:rPr>
              <w:noProof/>
            </w:rPr>
            <w:drawing>
              <wp:inline distT="0" distB="0" distL="0" distR="0" wp14:anchorId="1F86C933" wp14:editId="10E1762F">
                <wp:extent cx="485264" cy="361950"/>
                <wp:effectExtent l="0" t="0" r="0" b="0"/>
                <wp:docPr id="6" name="Picture 6" descr="VVMU-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MU-sig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9680" cy="380162"/>
                        </a:xfrm>
                        <a:prstGeom prst="rect">
                          <a:avLst/>
                        </a:prstGeom>
                        <a:noFill/>
                        <a:ln>
                          <a:noFill/>
                        </a:ln>
                      </pic:spPr>
                    </pic:pic>
                  </a:graphicData>
                </a:graphic>
              </wp:inline>
            </w:drawing>
          </w:r>
        </w:p>
      </w:tc>
      <w:tc>
        <w:tcPr>
          <w:tcW w:w="2410" w:type="dxa"/>
          <w:shd w:val="clear" w:color="auto" w:fill="auto"/>
        </w:tcPr>
        <w:p w:rsidR="00422A47" w:rsidRDefault="00422A47" w:rsidP="00880495">
          <w:pPr>
            <w:jc w:val="center"/>
            <w:rPr>
              <w:sz w:val="20"/>
              <w:szCs w:val="20"/>
            </w:rPr>
          </w:pPr>
          <w:r>
            <w:rPr>
              <w:noProof/>
            </w:rPr>
            <w:drawing>
              <wp:inline distT="0" distB="0" distL="0" distR="0" wp14:anchorId="347F9595" wp14:editId="1D9A4AED">
                <wp:extent cx="666125" cy="355600"/>
                <wp:effectExtent l="0" t="0" r="635" b="6350"/>
                <wp:docPr id="7" name="Picture 7" descr="Image result for STICHTING STC-GROUP, STC-Group – Nether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ICHTING STC-GROUP, STC-Group – Netherland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881" cy="366680"/>
                        </a:xfrm>
                        <a:prstGeom prst="rect">
                          <a:avLst/>
                        </a:prstGeom>
                        <a:noFill/>
                        <a:ln>
                          <a:noFill/>
                        </a:ln>
                      </pic:spPr>
                    </pic:pic>
                  </a:graphicData>
                </a:graphic>
              </wp:inline>
            </w:drawing>
          </w:r>
        </w:p>
      </w:tc>
    </w:tr>
    <w:tr w:rsidR="00422A47" w:rsidTr="00636F20">
      <w:trPr>
        <w:trHeight w:val="376"/>
      </w:trPr>
      <w:tc>
        <w:tcPr>
          <w:tcW w:w="2409" w:type="dxa"/>
          <w:shd w:val="clear" w:color="auto" w:fill="auto"/>
        </w:tcPr>
        <w:p w:rsidR="00422A47" w:rsidRPr="0062311A" w:rsidRDefault="00422A47" w:rsidP="00605CEC">
          <w:pPr>
            <w:jc w:val="center"/>
            <w:rPr>
              <w:noProof/>
              <w:sz w:val="16"/>
              <w:szCs w:val="16"/>
            </w:rPr>
          </w:pPr>
          <w:r w:rsidRPr="0062311A">
            <w:rPr>
              <w:sz w:val="16"/>
              <w:szCs w:val="16"/>
            </w:rPr>
            <w:t>Constanta Maritime University, CMU – Romania</w:t>
          </w:r>
        </w:p>
      </w:tc>
      <w:tc>
        <w:tcPr>
          <w:tcW w:w="2410" w:type="dxa"/>
          <w:shd w:val="clear" w:color="auto" w:fill="auto"/>
        </w:tcPr>
        <w:p w:rsidR="00422A47" w:rsidRPr="0062311A" w:rsidRDefault="00422A47" w:rsidP="00605CEC">
          <w:pPr>
            <w:jc w:val="center"/>
            <w:rPr>
              <w:sz w:val="16"/>
              <w:szCs w:val="16"/>
            </w:rPr>
          </w:pPr>
          <w:r w:rsidRPr="0062311A">
            <w:rPr>
              <w:sz w:val="16"/>
              <w:szCs w:val="16"/>
            </w:rPr>
            <w:t>European Association of Career Guidance, EACG – Cyprus</w:t>
          </w:r>
        </w:p>
      </w:tc>
      <w:tc>
        <w:tcPr>
          <w:tcW w:w="2410" w:type="dxa"/>
          <w:shd w:val="clear" w:color="auto" w:fill="auto"/>
        </w:tcPr>
        <w:p w:rsidR="00422A47" w:rsidRPr="0062311A" w:rsidRDefault="00422A47" w:rsidP="00605CEC">
          <w:pPr>
            <w:jc w:val="center"/>
            <w:rPr>
              <w:sz w:val="16"/>
              <w:szCs w:val="16"/>
            </w:rPr>
          </w:pPr>
          <w:r w:rsidRPr="0062311A">
            <w:rPr>
              <w:sz w:val="16"/>
              <w:szCs w:val="16"/>
            </w:rPr>
            <w:t>Nikola Yonkov Vaptsarov Naval Academy, NVNA – Bulgaria</w:t>
          </w:r>
        </w:p>
      </w:tc>
      <w:tc>
        <w:tcPr>
          <w:tcW w:w="2410" w:type="dxa"/>
          <w:shd w:val="clear" w:color="auto" w:fill="auto"/>
        </w:tcPr>
        <w:p w:rsidR="00422A47" w:rsidRPr="0062311A" w:rsidRDefault="00422A47" w:rsidP="0062311A">
          <w:pPr>
            <w:jc w:val="center"/>
            <w:rPr>
              <w:sz w:val="16"/>
              <w:szCs w:val="16"/>
            </w:rPr>
          </w:pPr>
          <w:r w:rsidRPr="0062311A">
            <w:rPr>
              <w:sz w:val="16"/>
              <w:szCs w:val="16"/>
            </w:rPr>
            <w:t>STICHTING STC-GROUP, STC-Group – Netherlands</w:t>
          </w:r>
        </w:p>
      </w:tc>
    </w:tr>
  </w:tbl>
  <w:p w:rsidR="00422A47" w:rsidRPr="0062311A" w:rsidRDefault="00422A47" w:rsidP="0062311A">
    <w:pPr>
      <w:pStyle w:val="Footer"/>
      <w:jc w:val="center"/>
      <w:rPr>
        <w:sz w:val="12"/>
        <w:szCs w:val="12"/>
      </w:rPr>
    </w:pPr>
    <w:r>
      <w:rPr>
        <w:sz w:val="12"/>
        <w:szCs w:val="12"/>
      </w:rPr>
      <w:t xml:space="preserve">Page </w:t>
    </w:r>
    <w:r w:rsidRPr="0062311A">
      <w:rPr>
        <w:sz w:val="12"/>
        <w:szCs w:val="12"/>
      </w:rPr>
      <w:fldChar w:fldCharType="begin"/>
    </w:r>
    <w:r w:rsidRPr="0062311A">
      <w:rPr>
        <w:sz w:val="12"/>
        <w:szCs w:val="12"/>
      </w:rPr>
      <w:instrText xml:space="preserve"> PAGE   \* MERGEFORMAT </w:instrText>
    </w:r>
    <w:r w:rsidRPr="0062311A">
      <w:rPr>
        <w:sz w:val="12"/>
        <w:szCs w:val="12"/>
      </w:rPr>
      <w:fldChar w:fldCharType="separate"/>
    </w:r>
    <w:r w:rsidR="004873C9">
      <w:rPr>
        <w:noProof/>
        <w:sz w:val="12"/>
        <w:szCs w:val="12"/>
      </w:rPr>
      <w:t>1</w:t>
    </w:r>
    <w:r w:rsidRPr="0062311A">
      <w:rPr>
        <w:noProof/>
        <w:sz w:val="12"/>
        <w:szCs w:val="12"/>
      </w:rPr>
      <w:fldChar w:fldCharType="end"/>
    </w:r>
    <w:r>
      <w:rPr>
        <w:noProof/>
        <w:sz w:val="12"/>
        <w:szCs w:val="12"/>
      </w:rPr>
      <w:t xml:space="preserve"> of </w:t>
    </w:r>
    <w:r>
      <w:rPr>
        <w:noProof/>
        <w:sz w:val="12"/>
        <w:szCs w:val="12"/>
      </w:rPr>
      <w:fldChar w:fldCharType="begin"/>
    </w:r>
    <w:r>
      <w:rPr>
        <w:noProof/>
        <w:sz w:val="12"/>
        <w:szCs w:val="12"/>
      </w:rPr>
      <w:instrText xml:space="preserve"> NUMPAGES   \* MERGEFORMAT </w:instrText>
    </w:r>
    <w:r>
      <w:rPr>
        <w:noProof/>
        <w:sz w:val="12"/>
        <w:szCs w:val="12"/>
      </w:rPr>
      <w:fldChar w:fldCharType="separate"/>
    </w:r>
    <w:r w:rsidR="004873C9">
      <w:rPr>
        <w:noProof/>
        <w:sz w:val="12"/>
        <w:szCs w:val="12"/>
      </w:rPr>
      <w:t>2</w:t>
    </w:r>
    <w:r>
      <w:rPr>
        <w:noProof/>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Ind w:w="108" w:type="dxa"/>
      <w:tblBorders>
        <w:top w:val="dashDotStroked" w:sz="24" w:space="0" w:color="00B0F0"/>
        <w:left w:val="none" w:sz="0" w:space="0" w:color="auto"/>
        <w:bottom w:val="dashDotStroked" w:sz="24" w:space="0" w:color="00B0F0"/>
        <w:right w:val="none" w:sz="0" w:space="0" w:color="auto"/>
        <w:insideH w:val="none" w:sz="0" w:space="0" w:color="auto"/>
        <w:insideV w:val="none" w:sz="0" w:space="0" w:color="auto"/>
      </w:tblBorders>
      <w:tblLook w:val="04A0" w:firstRow="1" w:lastRow="0" w:firstColumn="1" w:lastColumn="0" w:noHBand="0" w:noVBand="1"/>
    </w:tblPr>
    <w:tblGrid>
      <w:gridCol w:w="2409"/>
      <w:gridCol w:w="2410"/>
      <w:gridCol w:w="2410"/>
      <w:gridCol w:w="2410"/>
    </w:tblGrid>
    <w:tr w:rsidR="00880495" w:rsidTr="00636F20">
      <w:trPr>
        <w:trHeight w:val="568"/>
      </w:trPr>
      <w:tc>
        <w:tcPr>
          <w:tcW w:w="2409" w:type="dxa"/>
          <w:shd w:val="clear" w:color="auto" w:fill="auto"/>
        </w:tcPr>
        <w:p w:rsidR="00880495" w:rsidRDefault="00880495" w:rsidP="00880495">
          <w:pPr>
            <w:jc w:val="center"/>
            <w:rPr>
              <w:noProof/>
              <w:sz w:val="26"/>
              <w:szCs w:val="26"/>
            </w:rPr>
          </w:pPr>
          <w:r w:rsidRPr="00BD354B">
            <w:rPr>
              <w:noProof/>
              <w:sz w:val="26"/>
              <w:szCs w:val="26"/>
            </w:rPr>
            <w:drawing>
              <wp:anchor distT="0" distB="0" distL="114300" distR="114300" simplePos="0" relativeHeight="251665408" behindDoc="1" locked="0" layoutInCell="1" allowOverlap="1" wp14:anchorId="6A14740B" wp14:editId="2DB4AEA0">
                <wp:simplePos x="0" y="0"/>
                <wp:positionH relativeFrom="column">
                  <wp:posOffset>511810</wp:posOffset>
                </wp:positionH>
                <wp:positionV relativeFrom="paragraph">
                  <wp:posOffset>17145</wp:posOffset>
                </wp:positionV>
                <wp:extent cx="245877" cy="355600"/>
                <wp:effectExtent l="0" t="0" r="1905"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C R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860" cy="362806"/>
                        </a:xfrm>
                        <a:prstGeom prst="rect">
                          <a:avLst/>
                        </a:prstGeom>
                      </pic:spPr>
                    </pic:pic>
                  </a:graphicData>
                </a:graphic>
                <wp14:sizeRelH relativeFrom="page">
                  <wp14:pctWidth>0</wp14:pctWidth>
                </wp14:sizeRelH>
                <wp14:sizeRelV relativeFrom="page">
                  <wp14:pctHeight>0</wp14:pctHeight>
                </wp14:sizeRelV>
              </wp:anchor>
            </w:drawing>
          </w:r>
        </w:p>
        <w:p w:rsidR="00880495" w:rsidRPr="00880495" w:rsidRDefault="00880495" w:rsidP="00880495">
          <w:pPr>
            <w:tabs>
              <w:tab w:val="left" w:pos="1192"/>
            </w:tabs>
            <w:rPr>
              <w:noProof/>
              <w:sz w:val="26"/>
              <w:szCs w:val="26"/>
            </w:rPr>
          </w:pPr>
        </w:p>
      </w:tc>
      <w:tc>
        <w:tcPr>
          <w:tcW w:w="2410" w:type="dxa"/>
          <w:shd w:val="clear" w:color="auto" w:fill="auto"/>
        </w:tcPr>
        <w:p w:rsidR="00880495" w:rsidRDefault="00880495" w:rsidP="00880495">
          <w:pPr>
            <w:jc w:val="center"/>
            <w:rPr>
              <w:sz w:val="20"/>
              <w:szCs w:val="20"/>
            </w:rPr>
          </w:pPr>
          <w:r>
            <w:rPr>
              <w:noProof/>
            </w:rPr>
            <w:drawing>
              <wp:inline distT="0" distB="0" distL="0" distR="0" wp14:anchorId="1FA5516F" wp14:editId="2431C559">
                <wp:extent cx="450219" cy="342900"/>
                <wp:effectExtent l="0" t="0" r="6985" b="0"/>
                <wp:docPr id="28" name="Picture 28" descr="Image result for EA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C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1808" cy="351727"/>
                        </a:xfrm>
                        <a:prstGeom prst="rect">
                          <a:avLst/>
                        </a:prstGeom>
                        <a:noFill/>
                        <a:ln>
                          <a:noFill/>
                        </a:ln>
                      </pic:spPr>
                    </pic:pic>
                  </a:graphicData>
                </a:graphic>
              </wp:inline>
            </w:drawing>
          </w:r>
        </w:p>
      </w:tc>
      <w:tc>
        <w:tcPr>
          <w:tcW w:w="2410" w:type="dxa"/>
          <w:shd w:val="clear" w:color="auto" w:fill="auto"/>
        </w:tcPr>
        <w:p w:rsidR="00880495" w:rsidRDefault="00880495" w:rsidP="00880495">
          <w:pPr>
            <w:jc w:val="center"/>
            <w:rPr>
              <w:sz w:val="20"/>
              <w:szCs w:val="20"/>
            </w:rPr>
          </w:pPr>
          <w:r>
            <w:rPr>
              <w:noProof/>
            </w:rPr>
            <w:drawing>
              <wp:inline distT="0" distB="0" distL="0" distR="0" wp14:anchorId="2BFBBFBA" wp14:editId="73F6FEBC">
                <wp:extent cx="485264" cy="361950"/>
                <wp:effectExtent l="0" t="0" r="0" b="0"/>
                <wp:docPr id="29" name="Picture 29" descr="VVMU-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MU-sig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9680" cy="380162"/>
                        </a:xfrm>
                        <a:prstGeom prst="rect">
                          <a:avLst/>
                        </a:prstGeom>
                        <a:noFill/>
                        <a:ln>
                          <a:noFill/>
                        </a:ln>
                      </pic:spPr>
                    </pic:pic>
                  </a:graphicData>
                </a:graphic>
              </wp:inline>
            </w:drawing>
          </w:r>
        </w:p>
      </w:tc>
      <w:tc>
        <w:tcPr>
          <w:tcW w:w="2410" w:type="dxa"/>
          <w:shd w:val="clear" w:color="auto" w:fill="auto"/>
        </w:tcPr>
        <w:p w:rsidR="00880495" w:rsidRDefault="00880495" w:rsidP="00880495">
          <w:pPr>
            <w:jc w:val="center"/>
            <w:rPr>
              <w:sz w:val="20"/>
              <w:szCs w:val="20"/>
            </w:rPr>
          </w:pPr>
          <w:r>
            <w:rPr>
              <w:noProof/>
            </w:rPr>
            <w:drawing>
              <wp:inline distT="0" distB="0" distL="0" distR="0" wp14:anchorId="23658FA8" wp14:editId="0A44F501">
                <wp:extent cx="666125" cy="355600"/>
                <wp:effectExtent l="0" t="0" r="635" b="6350"/>
                <wp:docPr id="30" name="Picture 30" descr="Image result for STICHTING STC-GROUP, STC-Group – Nether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ICHTING STC-GROUP, STC-Group – Netherland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881" cy="366680"/>
                        </a:xfrm>
                        <a:prstGeom prst="rect">
                          <a:avLst/>
                        </a:prstGeom>
                        <a:noFill/>
                        <a:ln>
                          <a:noFill/>
                        </a:ln>
                      </pic:spPr>
                    </pic:pic>
                  </a:graphicData>
                </a:graphic>
              </wp:inline>
            </w:drawing>
          </w:r>
        </w:p>
      </w:tc>
    </w:tr>
    <w:tr w:rsidR="00605CEC" w:rsidTr="00636F20">
      <w:trPr>
        <w:trHeight w:val="376"/>
      </w:trPr>
      <w:tc>
        <w:tcPr>
          <w:tcW w:w="2409" w:type="dxa"/>
          <w:shd w:val="clear" w:color="auto" w:fill="auto"/>
        </w:tcPr>
        <w:p w:rsidR="00605CEC" w:rsidRPr="0062311A" w:rsidRDefault="00605CEC" w:rsidP="00605CEC">
          <w:pPr>
            <w:jc w:val="center"/>
            <w:rPr>
              <w:noProof/>
              <w:sz w:val="16"/>
              <w:szCs w:val="16"/>
            </w:rPr>
          </w:pPr>
          <w:r w:rsidRPr="0062311A">
            <w:rPr>
              <w:sz w:val="16"/>
              <w:szCs w:val="16"/>
            </w:rPr>
            <w:t>Constanta Maritime University, CMU – Romania</w:t>
          </w:r>
        </w:p>
      </w:tc>
      <w:tc>
        <w:tcPr>
          <w:tcW w:w="2410" w:type="dxa"/>
          <w:shd w:val="clear" w:color="auto" w:fill="auto"/>
        </w:tcPr>
        <w:p w:rsidR="00605CEC" w:rsidRPr="0062311A" w:rsidRDefault="00605CEC" w:rsidP="00605CEC">
          <w:pPr>
            <w:jc w:val="center"/>
            <w:rPr>
              <w:sz w:val="16"/>
              <w:szCs w:val="16"/>
            </w:rPr>
          </w:pPr>
          <w:r w:rsidRPr="0062311A">
            <w:rPr>
              <w:sz w:val="16"/>
              <w:szCs w:val="16"/>
            </w:rPr>
            <w:t>European Association of Career Guidance, EACG – Cyprus</w:t>
          </w:r>
        </w:p>
      </w:tc>
      <w:tc>
        <w:tcPr>
          <w:tcW w:w="2410" w:type="dxa"/>
          <w:shd w:val="clear" w:color="auto" w:fill="auto"/>
        </w:tcPr>
        <w:p w:rsidR="00605CEC" w:rsidRPr="0062311A" w:rsidRDefault="00605CEC" w:rsidP="00605CEC">
          <w:pPr>
            <w:jc w:val="center"/>
            <w:rPr>
              <w:sz w:val="16"/>
              <w:szCs w:val="16"/>
            </w:rPr>
          </w:pPr>
          <w:r w:rsidRPr="0062311A">
            <w:rPr>
              <w:sz w:val="16"/>
              <w:szCs w:val="16"/>
            </w:rPr>
            <w:t>Nikola Yonkov Vaptsarov Naval Academy, NVNA – Bulgaria</w:t>
          </w:r>
        </w:p>
      </w:tc>
      <w:tc>
        <w:tcPr>
          <w:tcW w:w="2410" w:type="dxa"/>
          <w:shd w:val="clear" w:color="auto" w:fill="auto"/>
        </w:tcPr>
        <w:p w:rsidR="00605CEC" w:rsidRPr="0062311A" w:rsidRDefault="00605CEC" w:rsidP="0062311A">
          <w:pPr>
            <w:jc w:val="center"/>
            <w:rPr>
              <w:sz w:val="16"/>
              <w:szCs w:val="16"/>
            </w:rPr>
          </w:pPr>
          <w:r w:rsidRPr="0062311A">
            <w:rPr>
              <w:sz w:val="16"/>
              <w:szCs w:val="16"/>
            </w:rPr>
            <w:t>STICHTING STC-GROUP, STC-Group – Netherlands</w:t>
          </w:r>
        </w:p>
      </w:tc>
    </w:tr>
  </w:tbl>
  <w:p w:rsidR="00880495" w:rsidRPr="0062311A" w:rsidRDefault="0062311A" w:rsidP="0062311A">
    <w:pPr>
      <w:pStyle w:val="Footer"/>
      <w:jc w:val="center"/>
      <w:rPr>
        <w:sz w:val="12"/>
        <w:szCs w:val="12"/>
      </w:rPr>
    </w:pPr>
    <w:r>
      <w:rPr>
        <w:sz w:val="12"/>
        <w:szCs w:val="12"/>
      </w:rPr>
      <w:t xml:space="preserve">Page </w:t>
    </w:r>
    <w:r w:rsidRPr="0062311A">
      <w:rPr>
        <w:sz w:val="12"/>
        <w:szCs w:val="12"/>
      </w:rPr>
      <w:fldChar w:fldCharType="begin"/>
    </w:r>
    <w:r w:rsidRPr="0062311A">
      <w:rPr>
        <w:sz w:val="12"/>
        <w:szCs w:val="12"/>
      </w:rPr>
      <w:instrText xml:space="preserve"> PAGE   \* MERGEFORMAT </w:instrText>
    </w:r>
    <w:r w:rsidRPr="0062311A">
      <w:rPr>
        <w:sz w:val="12"/>
        <w:szCs w:val="12"/>
      </w:rPr>
      <w:fldChar w:fldCharType="separate"/>
    </w:r>
    <w:r w:rsidR="004873C9">
      <w:rPr>
        <w:noProof/>
        <w:sz w:val="12"/>
        <w:szCs w:val="12"/>
      </w:rPr>
      <w:t>2</w:t>
    </w:r>
    <w:r w:rsidRPr="0062311A">
      <w:rPr>
        <w:noProof/>
        <w:sz w:val="12"/>
        <w:szCs w:val="12"/>
      </w:rPr>
      <w:fldChar w:fldCharType="end"/>
    </w:r>
    <w:r>
      <w:rPr>
        <w:noProof/>
        <w:sz w:val="12"/>
        <w:szCs w:val="12"/>
      </w:rPr>
      <w:t xml:space="preserve"> of </w:t>
    </w:r>
    <w:r>
      <w:rPr>
        <w:noProof/>
        <w:sz w:val="12"/>
        <w:szCs w:val="12"/>
      </w:rPr>
      <w:fldChar w:fldCharType="begin"/>
    </w:r>
    <w:r>
      <w:rPr>
        <w:noProof/>
        <w:sz w:val="12"/>
        <w:szCs w:val="12"/>
      </w:rPr>
      <w:instrText xml:space="preserve"> NUMPAGES   \* MERGEFORMAT </w:instrText>
    </w:r>
    <w:r>
      <w:rPr>
        <w:noProof/>
        <w:sz w:val="12"/>
        <w:szCs w:val="12"/>
      </w:rPr>
      <w:fldChar w:fldCharType="separate"/>
    </w:r>
    <w:r w:rsidR="004873C9">
      <w:rPr>
        <w:noProof/>
        <w:sz w:val="12"/>
        <w:szCs w:val="12"/>
      </w:rPr>
      <w:t>2</w:t>
    </w:r>
    <w:r>
      <w:rPr>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D7C" w:rsidRDefault="00866D7C" w:rsidP="00880495">
      <w:pPr>
        <w:spacing w:after="0" w:line="240" w:lineRule="auto"/>
      </w:pPr>
      <w:r>
        <w:separator/>
      </w:r>
    </w:p>
  </w:footnote>
  <w:footnote w:type="continuationSeparator" w:id="0">
    <w:p w:rsidR="00866D7C" w:rsidRDefault="00866D7C" w:rsidP="00880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A47" w:rsidRPr="001D40DA" w:rsidRDefault="00422A47" w:rsidP="00880495">
    <w:r w:rsidRPr="001D40DA">
      <w:rPr>
        <w:noProof/>
        <w:sz w:val="18"/>
        <w:szCs w:val="18"/>
      </w:rPr>
      <w:drawing>
        <wp:inline distT="0" distB="0" distL="0" distR="0" wp14:anchorId="03A4C07E" wp14:editId="62795F70">
          <wp:extent cx="1487606" cy="424971"/>
          <wp:effectExtent l="0" t="0" r="0" b="0"/>
          <wp:docPr id="2" name="Picture 2" descr="erasmus+logo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logo_mi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086" cy="439677"/>
                  </a:xfrm>
                  <a:prstGeom prst="rect">
                    <a:avLst/>
                  </a:prstGeom>
                  <a:noFill/>
                  <a:ln>
                    <a:noFill/>
                  </a:ln>
                </pic:spPr>
              </pic:pic>
            </a:graphicData>
          </a:graphic>
        </wp:inline>
      </w:drawing>
    </w:r>
    <w:r>
      <w:tab/>
    </w:r>
    <w:r>
      <w:tab/>
    </w:r>
    <w:r w:rsidRPr="001D40DA">
      <w:tab/>
    </w:r>
    <w:r w:rsidRPr="001D40DA">
      <w:tab/>
    </w:r>
    <w:r w:rsidRPr="001D40DA">
      <w:tab/>
    </w:r>
    <w:r w:rsidRPr="001D40DA">
      <w:tab/>
    </w:r>
    <w:r w:rsidRPr="001D40DA">
      <w:tab/>
      <w:t xml:space="preserve">       </w:t>
    </w:r>
    <w:r>
      <w:rPr>
        <w:noProof/>
      </w:rPr>
      <w:drawing>
        <wp:inline distT="0" distB="0" distL="0" distR="0" wp14:anchorId="654F3855" wp14:editId="2B30FD41">
          <wp:extent cx="938151" cy="322227"/>
          <wp:effectExtent l="0" t="0" r="0" b="1905"/>
          <wp:docPr id="3" name="Picture 3" descr="C:\Users\Nicoleta\AppData\Local\Microsoft\Windows\INetCache\Content.Word\DivS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ta\AppData\Local\Microsoft\Windows\INetCache\Content.Word\DivSea-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926" cy="334858"/>
                  </a:xfrm>
                  <a:prstGeom prst="rect">
                    <a:avLst/>
                  </a:prstGeom>
                  <a:noFill/>
                  <a:ln>
                    <a:noFill/>
                  </a:ln>
                </pic:spPr>
              </pic:pic>
            </a:graphicData>
          </a:graphic>
        </wp:inline>
      </w:drawing>
    </w:r>
  </w:p>
  <w:p w:rsidR="00422A47" w:rsidRDefault="00422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95" w:rsidRPr="001D40DA" w:rsidRDefault="00880495" w:rsidP="00880495">
    <w:r w:rsidRPr="001D40DA">
      <w:rPr>
        <w:noProof/>
        <w:sz w:val="18"/>
        <w:szCs w:val="18"/>
      </w:rPr>
      <w:drawing>
        <wp:inline distT="0" distB="0" distL="0" distR="0" wp14:anchorId="50A29B33" wp14:editId="0928C6B4">
          <wp:extent cx="1487606" cy="424971"/>
          <wp:effectExtent l="0" t="0" r="0" b="0"/>
          <wp:docPr id="25" name="Picture 25" descr="erasmus+logo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logo_mi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086" cy="439677"/>
                  </a:xfrm>
                  <a:prstGeom prst="rect">
                    <a:avLst/>
                  </a:prstGeom>
                  <a:noFill/>
                  <a:ln>
                    <a:noFill/>
                  </a:ln>
                </pic:spPr>
              </pic:pic>
            </a:graphicData>
          </a:graphic>
        </wp:inline>
      </w:drawing>
    </w:r>
    <w:r>
      <w:tab/>
    </w:r>
    <w:r>
      <w:tab/>
    </w:r>
    <w:r w:rsidRPr="001D40DA">
      <w:tab/>
    </w:r>
    <w:r w:rsidRPr="001D40DA">
      <w:tab/>
    </w:r>
    <w:r w:rsidRPr="001D40DA">
      <w:tab/>
    </w:r>
    <w:r w:rsidRPr="001D40DA">
      <w:tab/>
    </w:r>
    <w:r w:rsidRPr="001D40DA">
      <w:tab/>
      <w:t xml:space="preserve">       </w:t>
    </w:r>
    <w:r w:rsidR="003C5843">
      <w:rPr>
        <w:noProof/>
      </w:rPr>
      <w:drawing>
        <wp:inline distT="0" distB="0" distL="0" distR="0">
          <wp:extent cx="938151" cy="322227"/>
          <wp:effectExtent l="0" t="0" r="0" b="1905"/>
          <wp:docPr id="1" name="Picture 1" descr="C:\Users\Nicoleta\AppData\Local\Microsoft\Windows\INetCache\Content.Word\DivS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ta\AppData\Local\Microsoft\Windows\INetCache\Content.Word\DivSea-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926" cy="334858"/>
                  </a:xfrm>
                  <a:prstGeom prst="rect">
                    <a:avLst/>
                  </a:prstGeom>
                  <a:noFill/>
                  <a:ln>
                    <a:noFill/>
                  </a:ln>
                </pic:spPr>
              </pic:pic>
            </a:graphicData>
          </a:graphic>
        </wp:inline>
      </w:drawing>
    </w:r>
  </w:p>
  <w:p w:rsidR="00880495" w:rsidRDefault="00880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97"/>
    <w:rsid w:val="00056C6B"/>
    <w:rsid w:val="000A3C5E"/>
    <w:rsid w:val="000A5244"/>
    <w:rsid w:val="000C485E"/>
    <w:rsid w:val="000F1199"/>
    <w:rsid w:val="000F417F"/>
    <w:rsid w:val="001151DA"/>
    <w:rsid w:val="00135A72"/>
    <w:rsid w:val="001511C2"/>
    <w:rsid w:val="00154C8C"/>
    <w:rsid w:val="001B6DD4"/>
    <w:rsid w:val="001D40DA"/>
    <w:rsid w:val="001D5745"/>
    <w:rsid w:val="002308B6"/>
    <w:rsid w:val="00260A57"/>
    <w:rsid w:val="00265121"/>
    <w:rsid w:val="002A277E"/>
    <w:rsid w:val="002C2E41"/>
    <w:rsid w:val="002E5761"/>
    <w:rsid w:val="00326DEF"/>
    <w:rsid w:val="003748DD"/>
    <w:rsid w:val="003846BE"/>
    <w:rsid w:val="003B7111"/>
    <w:rsid w:val="003C5843"/>
    <w:rsid w:val="003C62BC"/>
    <w:rsid w:val="004038F6"/>
    <w:rsid w:val="004146BD"/>
    <w:rsid w:val="00422A47"/>
    <w:rsid w:val="00453AB4"/>
    <w:rsid w:val="004873C9"/>
    <w:rsid w:val="00516FFC"/>
    <w:rsid w:val="00537FFD"/>
    <w:rsid w:val="0054217F"/>
    <w:rsid w:val="00566A32"/>
    <w:rsid w:val="005C44F8"/>
    <w:rsid w:val="005D3B0C"/>
    <w:rsid w:val="005F2B54"/>
    <w:rsid w:val="00601094"/>
    <w:rsid w:val="006038C3"/>
    <w:rsid w:val="00605CEC"/>
    <w:rsid w:val="0062311A"/>
    <w:rsid w:val="00631EBE"/>
    <w:rsid w:val="00636F20"/>
    <w:rsid w:val="00640EF1"/>
    <w:rsid w:val="0065577A"/>
    <w:rsid w:val="006800DC"/>
    <w:rsid w:val="00686C5A"/>
    <w:rsid w:val="00690B4E"/>
    <w:rsid w:val="006D6731"/>
    <w:rsid w:val="006F3C25"/>
    <w:rsid w:val="00702380"/>
    <w:rsid w:val="00754659"/>
    <w:rsid w:val="0076085E"/>
    <w:rsid w:val="007F324D"/>
    <w:rsid w:val="007F6B85"/>
    <w:rsid w:val="00802071"/>
    <w:rsid w:val="00802FCC"/>
    <w:rsid w:val="008264E5"/>
    <w:rsid w:val="0084263C"/>
    <w:rsid w:val="00852439"/>
    <w:rsid w:val="0086479D"/>
    <w:rsid w:val="00866D7C"/>
    <w:rsid w:val="00870FC4"/>
    <w:rsid w:val="00880495"/>
    <w:rsid w:val="008A13BE"/>
    <w:rsid w:val="008B319D"/>
    <w:rsid w:val="008C2DB3"/>
    <w:rsid w:val="008C3555"/>
    <w:rsid w:val="008D2F3C"/>
    <w:rsid w:val="0092077A"/>
    <w:rsid w:val="009251D0"/>
    <w:rsid w:val="009340EF"/>
    <w:rsid w:val="00986E0C"/>
    <w:rsid w:val="009F7027"/>
    <w:rsid w:val="00A22F38"/>
    <w:rsid w:val="00A36C70"/>
    <w:rsid w:val="00A567BA"/>
    <w:rsid w:val="00A766B7"/>
    <w:rsid w:val="00AD3C05"/>
    <w:rsid w:val="00AE7B16"/>
    <w:rsid w:val="00B068CD"/>
    <w:rsid w:val="00B16381"/>
    <w:rsid w:val="00B74931"/>
    <w:rsid w:val="00BD602D"/>
    <w:rsid w:val="00C04FE2"/>
    <w:rsid w:val="00C34D96"/>
    <w:rsid w:val="00C51132"/>
    <w:rsid w:val="00C95A6C"/>
    <w:rsid w:val="00CA4D24"/>
    <w:rsid w:val="00CE3EFD"/>
    <w:rsid w:val="00CF5B29"/>
    <w:rsid w:val="00CF6C01"/>
    <w:rsid w:val="00D15C56"/>
    <w:rsid w:val="00D30D48"/>
    <w:rsid w:val="00D8090F"/>
    <w:rsid w:val="00D86EE1"/>
    <w:rsid w:val="00DA1497"/>
    <w:rsid w:val="00DD6B0D"/>
    <w:rsid w:val="00DE4BE9"/>
    <w:rsid w:val="00E44D43"/>
    <w:rsid w:val="00E51C6B"/>
    <w:rsid w:val="00E62867"/>
    <w:rsid w:val="00E753DC"/>
    <w:rsid w:val="00EC1EA7"/>
    <w:rsid w:val="00EC3492"/>
    <w:rsid w:val="00F43823"/>
    <w:rsid w:val="00F5336B"/>
    <w:rsid w:val="00F670F9"/>
    <w:rsid w:val="00F865EB"/>
    <w:rsid w:val="00FC11A2"/>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18C0"/>
  <w15:docId w15:val="{2C17633C-2346-4902-BF34-CD9C8E20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F3C"/>
    <w:rPr>
      <w:rFonts w:ascii="Segoe UI" w:hAnsi="Segoe UI" w:cs="Segoe UI"/>
      <w:sz w:val="18"/>
      <w:szCs w:val="18"/>
    </w:rPr>
  </w:style>
  <w:style w:type="character" w:styleId="Hyperlink">
    <w:name w:val="Hyperlink"/>
    <w:basedOn w:val="DefaultParagraphFont"/>
    <w:uiPriority w:val="99"/>
    <w:unhideWhenUsed/>
    <w:rsid w:val="005F2B54"/>
    <w:rPr>
      <w:color w:val="0563C1" w:themeColor="hyperlink"/>
      <w:u w:val="single"/>
    </w:rPr>
  </w:style>
  <w:style w:type="table" w:styleId="TableGrid">
    <w:name w:val="Table Grid"/>
    <w:basedOn w:val="TableNormal"/>
    <w:uiPriority w:val="39"/>
    <w:rsid w:val="00FC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3846BE"/>
  </w:style>
  <w:style w:type="character" w:styleId="FollowedHyperlink">
    <w:name w:val="FollowedHyperlink"/>
    <w:basedOn w:val="DefaultParagraphFont"/>
    <w:uiPriority w:val="99"/>
    <w:semiHidden/>
    <w:unhideWhenUsed/>
    <w:rsid w:val="004038F6"/>
    <w:rPr>
      <w:color w:val="954F72" w:themeColor="followedHyperlink"/>
      <w:u w:val="single"/>
    </w:rPr>
  </w:style>
  <w:style w:type="paragraph" w:styleId="Header">
    <w:name w:val="header"/>
    <w:basedOn w:val="Normal"/>
    <w:link w:val="HeaderChar"/>
    <w:uiPriority w:val="99"/>
    <w:unhideWhenUsed/>
    <w:rsid w:val="00880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495"/>
  </w:style>
  <w:style w:type="paragraph" w:styleId="Footer">
    <w:name w:val="footer"/>
    <w:basedOn w:val="Normal"/>
    <w:link w:val="FooterChar"/>
    <w:uiPriority w:val="99"/>
    <w:unhideWhenUsed/>
    <w:rsid w:val="00880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495"/>
  </w:style>
  <w:style w:type="paragraph" w:styleId="Revision">
    <w:name w:val="Revision"/>
    <w:hidden/>
    <w:uiPriority w:val="99"/>
    <w:semiHidden/>
    <w:rsid w:val="000F1199"/>
    <w:pPr>
      <w:spacing w:after="0" w:line="240" w:lineRule="auto"/>
    </w:pPr>
  </w:style>
  <w:style w:type="character" w:customStyle="1" w:styleId="Mention">
    <w:name w:val="Mention"/>
    <w:basedOn w:val="DefaultParagraphFont"/>
    <w:uiPriority w:val="99"/>
    <w:semiHidden/>
    <w:unhideWhenUsed/>
    <w:rsid w:val="003C58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nicoleta.acomi@cmu-edu.e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DB91A-2AE0-4E95-879E-DB0CAD52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Acomi Nicoleta</dc:creator>
  <cp:lastModifiedBy>Nicoleta</cp:lastModifiedBy>
  <cp:revision>2</cp:revision>
  <cp:lastPrinted>2016-10-17T09:26:00Z</cp:lastPrinted>
  <dcterms:created xsi:type="dcterms:W3CDTF">2018-05-03T03:33:00Z</dcterms:created>
  <dcterms:modified xsi:type="dcterms:W3CDTF">2018-05-03T03:33:00Z</dcterms:modified>
</cp:coreProperties>
</file>